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E3" w:rsidRPr="008F02AF" w:rsidRDefault="000941E3" w:rsidP="00D97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41E3" w:rsidRPr="00D9709A" w:rsidRDefault="000941E3" w:rsidP="00D22BF3">
      <w:pPr>
        <w:spacing w:after="0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6"/>
      </w:tblGrid>
      <w:tr w:rsidR="00E74916" w:rsidTr="00E74916">
        <w:tc>
          <w:tcPr>
            <w:tcW w:w="5066" w:type="dxa"/>
          </w:tcPr>
          <w:p w:rsidR="00E74916" w:rsidRPr="00E74916" w:rsidRDefault="00E74916" w:rsidP="00E74916">
            <w:pPr>
              <w:jc w:val="center"/>
              <w:rPr>
                <w:rFonts w:ascii="Arial Narrow" w:hAnsi="Arial Narrow" w:cs="Times New Roman"/>
                <w:b/>
                <w:sz w:val="30"/>
                <w:szCs w:val="30"/>
              </w:rPr>
            </w:pPr>
          </w:p>
          <w:p w:rsidR="00E74916" w:rsidRDefault="00E74916" w:rsidP="00E74916">
            <w:pPr>
              <w:jc w:val="center"/>
              <w:rPr>
                <w:rFonts w:ascii="Arial Narrow" w:hAnsi="Arial Narrow" w:cs="Times New Roman"/>
                <w:b/>
                <w:sz w:val="30"/>
                <w:szCs w:val="30"/>
              </w:rPr>
            </w:pPr>
            <w:r w:rsidRPr="00E74916">
              <w:rPr>
                <w:rFonts w:ascii="Arial Narrow" w:hAnsi="Arial Narrow" w:cs="Times New Roman"/>
                <w:b/>
                <w:sz w:val="30"/>
                <w:szCs w:val="30"/>
              </w:rPr>
              <w:t>Palīdzības iespējas Latvijas valstspiederīgajiem ārvalstīs</w:t>
            </w:r>
          </w:p>
          <w:p w:rsidR="00EC44A5" w:rsidRPr="00E74916" w:rsidRDefault="00EC44A5" w:rsidP="00E74916">
            <w:pPr>
              <w:jc w:val="center"/>
              <w:rPr>
                <w:rFonts w:ascii="Arial Narrow" w:hAnsi="Arial Narrow" w:cs="Times New Roman"/>
                <w:b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sz w:val="30"/>
                <w:szCs w:val="30"/>
              </w:rPr>
              <w:t>konsulārās palīdzības jomā</w:t>
            </w:r>
          </w:p>
          <w:p w:rsidR="00E74916" w:rsidRDefault="00E74916" w:rsidP="00E7491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066" w:type="dxa"/>
          </w:tcPr>
          <w:p w:rsidR="00E74916" w:rsidRDefault="00E74916" w:rsidP="00E7491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8F02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E0FD2F9" wp14:editId="501D781E">
                  <wp:extent cx="1943100" cy="1050609"/>
                  <wp:effectExtent l="0" t="0" r="0" b="0"/>
                  <wp:docPr id="3" name="Picture 3" descr="C:\Users\de103\Desktop\images_slaideris_CD_logo4_jpg_1462429397_crop_730_by_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103\Desktop\images_slaideris_CD_logo4_jpg_1462429397_crop_730_by_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470" cy="105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916" w:rsidRPr="00E74916" w:rsidRDefault="00E74916" w:rsidP="00E749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622"/>
      </w:tblGrid>
      <w:tr w:rsidR="00BC56C7" w:rsidRPr="00E74916" w:rsidTr="00E74916"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C7" w:rsidRPr="00E74916" w:rsidRDefault="00BC56C7" w:rsidP="00E74916">
            <w:pPr>
              <w:spacing w:after="12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sz w:val="24"/>
                <w:szCs w:val="24"/>
                <w:lang w:eastAsia="en-US"/>
              </w:rPr>
            </w:pPr>
            <w:r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K</w:t>
            </w:r>
            <w:r w:rsid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ā</w:t>
            </w:r>
            <w:r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ārlietu dienests </w:t>
            </w:r>
            <w:r w:rsidR="006F0D97" w:rsidRPr="00E74916">
              <w:rPr>
                <w:rFonts w:ascii="Arial Narrow" w:hAnsi="Arial Narrow" w:cs="Times New Roman"/>
                <w:b/>
                <w:bCs/>
                <w:i/>
                <w:sz w:val="24"/>
                <w:szCs w:val="24"/>
              </w:rPr>
              <w:t>var</w:t>
            </w:r>
            <w:r w:rsidR="006F0D97"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palīdzēt </w:t>
            </w: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E74916" w:rsidRDefault="00BC56C7" w:rsidP="00E74916">
            <w:pPr>
              <w:spacing w:after="12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sz w:val="24"/>
                <w:szCs w:val="24"/>
                <w:lang w:eastAsia="en-US"/>
              </w:rPr>
            </w:pPr>
            <w:r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K</w:t>
            </w:r>
            <w:r w:rsid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ā</w:t>
            </w:r>
            <w:r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ārlietu dienests </w:t>
            </w:r>
            <w:r w:rsidR="006F0D97" w:rsidRPr="00E74916">
              <w:rPr>
                <w:rFonts w:ascii="Arial Narrow" w:hAnsi="Arial Narrow" w:cs="Times New Roman"/>
                <w:b/>
                <w:bCs/>
                <w:i/>
                <w:sz w:val="24"/>
                <w:szCs w:val="24"/>
              </w:rPr>
              <w:t>nevar</w:t>
            </w:r>
            <w:r w:rsidR="006F0D97"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palīdzēt</w:t>
            </w:r>
          </w:p>
        </w:tc>
      </w:tr>
      <w:tr w:rsidR="00BC56C7" w:rsidRPr="00E74916" w:rsidTr="007A2F91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E74916" w:rsidRDefault="00BC56C7" w:rsidP="00E74916">
            <w:pPr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sz w:val="24"/>
                <w:szCs w:val="24"/>
                <w:lang w:eastAsia="en-US"/>
              </w:rPr>
            </w:pPr>
            <w:r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</w:t>
            </w:r>
            <w:r w:rsidR="00E74916" w:rsidRPr="00E7491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k d i e n ā </w:t>
            </w:r>
          </w:p>
        </w:tc>
      </w:tr>
      <w:tr w:rsidR="00BC56C7" w:rsidRPr="007A2F91" w:rsidTr="007A2F91"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7A2F91" w:rsidRDefault="00BC56C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Ja zudis/nozagts personu apliecinošs dokuments, </w:t>
            </w:r>
            <w:r w:rsidR="006F0D97" w:rsidRPr="007A2F91">
              <w:rPr>
                <w:rFonts w:ascii="Arial Narrow" w:hAnsi="Arial Narrow" w:cs="Times New Roman"/>
                <w:sz w:val="24"/>
                <w:szCs w:val="24"/>
              </w:rPr>
              <w:t xml:space="preserve">var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>izsniegt atgriešanās apliecību (valstīs, kurās nav Latvijas pārstāvniecības – ārkārtas ceļošanas dokumentu sadarbībā ar ES dalībvalstu pārstāvniecībām)</w:t>
            </w:r>
            <w:r w:rsidR="009D1731" w:rsidRPr="007A2F9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7A2F91" w:rsidRDefault="006F0D9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Nevar 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iejaukties tiesu, policijas un tiesību aizsardzības iestāžu darbībā, ja Latvijas valstspiederīgais ārvalstī ir izdarījis likumpārkāpumu</w:t>
            </w: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.</w:t>
            </w:r>
          </w:p>
        </w:tc>
      </w:tr>
      <w:tr w:rsidR="00BC56C7" w:rsidRPr="007A2F91" w:rsidTr="007A2F91"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7A2F91" w:rsidRDefault="006F0D9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sz w:val="24"/>
                <w:szCs w:val="24"/>
              </w:rPr>
              <w:t>J</w:t>
            </w:r>
            <w:r w:rsidR="00BC56C7" w:rsidRPr="007A2F91">
              <w:rPr>
                <w:rFonts w:ascii="Arial Narrow" w:hAnsi="Arial Narrow" w:cs="Times New Roman"/>
                <w:sz w:val="24"/>
                <w:szCs w:val="24"/>
              </w:rPr>
              <w:t xml:space="preserve">a persona ārvalstīs palikusi bez iztikas līdzekļiem,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var </w:t>
            </w:r>
            <w:r w:rsidR="00BC56C7" w:rsidRPr="007A2F91">
              <w:rPr>
                <w:rFonts w:ascii="Arial Narrow" w:hAnsi="Arial Narrow" w:cs="Times New Roman"/>
                <w:sz w:val="24"/>
                <w:szCs w:val="24"/>
              </w:rPr>
              <w:t xml:space="preserve">sazināties ar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tuviniekiem </w:t>
            </w:r>
            <w:r w:rsidR="00BC56C7" w:rsidRPr="007A2F91">
              <w:rPr>
                <w:rFonts w:ascii="Arial Narrow" w:hAnsi="Arial Narrow" w:cs="Times New Roman"/>
                <w:sz w:val="24"/>
                <w:szCs w:val="24"/>
              </w:rPr>
              <w:t>vai draugiem Latvijā, lai konsultētu un rastu risinājumu nepieciešamo naudas līdzekļu pārsūtīšanai ar starptautisko naudas pārskaitījumu starpniecību</w:t>
            </w:r>
            <w:r w:rsidR="009D1731" w:rsidRPr="007A2F9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31" w:rsidRPr="007A2F91" w:rsidRDefault="006F0D9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Nevar 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sniegt juridiskas konsultācijas</w:t>
            </w:r>
            <w:r w:rsid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, </w:t>
            </w:r>
            <w:r w:rsidR="007A2F91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neaizstāj advokātu.</w:t>
            </w:r>
          </w:p>
          <w:p w:rsidR="00BC56C7" w:rsidRPr="007A2F91" w:rsidRDefault="009D1731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Nevar panākt labākus ārstēšanās apstākļus slimnīcā vai ieslodzījuma apstākļus cietumā, nekā tie ir vietējiem iedzīvotājiem.</w:t>
            </w:r>
          </w:p>
        </w:tc>
      </w:tr>
      <w:tr w:rsidR="00BC56C7" w:rsidRPr="007A2F91" w:rsidTr="007A2F91"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7A2F91" w:rsidRDefault="00BC56C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Ja ceļotājam nav </w:t>
            </w:r>
            <w:r w:rsidR="006F0D97" w:rsidRPr="007A2F91">
              <w:rPr>
                <w:rFonts w:ascii="Arial Narrow" w:hAnsi="Arial Narrow" w:cs="Times New Roman"/>
                <w:sz w:val="24"/>
                <w:szCs w:val="24"/>
              </w:rPr>
              <w:t>tuvinieku un draugu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>, kas nodrošināt</w:t>
            </w:r>
            <w:r w:rsidR="006F0D97" w:rsidRPr="007A2F91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 finanšu līdzekļus</w:t>
            </w:r>
            <w:r w:rsidR="006F0D97" w:rsidRPr="007A2F9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 un </w:t>
            </w:r>
            <w:r w:rsidR="006F0D97" w:rsidRPr="007A2F91">
              <w:rPr>
                <w:rFonts w:ascii="Arial Narrow" w:hAnsi="Arial Narrow" w:cs="Times New Roman"/>
                <w:sz w:val="24"/>
                <w:szCs w:val="24"/>
              </w:rPr>
              <w:t xml:space="preserve">ja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persona ārkārtas situācijā ir nonākusi ne savas vainas dēļ, </w:t>
            </w:r>
            <w:r w:rsidR="006F0D97" w:rsidRPr="007A2F91">
              <w:rPr>
                <w:rFonts w:ascii="Arial Narrow" w:hAnsi="Arial Narrow" w:cs="Times New Roman"/>
                <w:sz w:val="24"/>
                <w:szCs w:val="24"/>
              </w:rPr>
              <w:t xml:space="preserve">var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>izsniegt valsts aizdevumu, lai segtu ar atgriešanos Latvijā saistītos izdevumus</w:t>
            </w:r>
            <w:r w:rsidR="009D1731" w:rsidRPr="007A2F9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7A2F91" w:rsidRDefault="009D1731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Nevar kārtot ceļotājiem nepieciešamās formalitātes, kas saistītas ar tūrisma organizācijas, aviosabiedrību, banku vai citu iestāžu darbības jautājumiem.</w:t>
            </w:r>
          </w:p>
        </w:tc>
      </w:tr>
      <w:tr w:rsidR="00BC56C7" w:rsidRPr="007A2F91" w:rsidTr="007A2F91"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7A2F91" w:rsidRDefault="006F0D97" w:rsidP="007A2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color w:val="1B1D1F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Var 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sazināties ar Latvijas valstspiederīgajiem ieslodzījuma vietās viņu tiesību un likumīgo interešu nodrošināšanai</w:t>
            </w: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.</w:t>
            </w:r>
            <w:r w:rsidR="009D1731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 </w:t>
            </w: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7A2F91" w:rsidRDefault="006F0D9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Nevar 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apmaksāt Latvijas valstspiederīgo rēķinus par viesnīcu, jurista pakalpojumiem, medicīnisko palīdzību vai jebkurus citus rēķinus</w:t>
            </w: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.</w:t>
            </w:r>
          </w:p>
        </w:tc>
      </w:tr>
      <w:tr w:rsidR="00BC56C7" w:rsidRPr="007A2F91" w:rsidTr="007A2F91"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731" w:rsidRPr="007A2F91" w:rsidRDefault="009D1731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color w:val="1B1D1F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Var pārstāvēt Latvijas valstspiederīgo tiesības un likumīgās intereses saziņā ar vietējām institūcijām, ja pašai personai tas nav iespējams.</w:t>
            </w:r>
          </w:p>
          <w:p w:rsidR="00BC56C7" w:rsidRPr="007A2F91" w:rsidRDefault="006F0D9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color w:val="1B1D1F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J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a noticis nelaimes gadīj</w:t>
            </w:r>
            <w:r w:rsidR="00B170A6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ums, </w:t>
            </w: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var </w:t>
            </w:r>
            <w:r w:rsidR="00B170A6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informēt par to tuviniekus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, sniegt padomu un palīdzību formalitāšu kārtošanā </w:t>
            </w: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nelaimes 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sakarā</w:t>
            </w: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.</w:t>
            </w: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91" w:rsidRPr="007A2F91" w:rsidRDefault="009D1731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Nevar palīdzēt ceļotājiem sameklēt apmešanās vietu vai darbu vai nokārtot darba atļauju ārzemēs.</w:t>
            </w:r>
            <w:r w:rsidR="007A2F91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 </w:t>
            </w:r>
          </w:p>
          <w:p w:rsidR="00BC56C7" w:rsidRPr="007A2F91" w:rsidRDefault="00BC56C7" w:rsidP="007A2F91">
            <w:pPr>
              <w:spacing w:after="0" w:line="240" w:lineRule="auto"/>
              <w:ind w:left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BC56C7" w:rsidRPr="007A2F91" w:rsidTr="007A2F91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C7" w:rsidRPr="007A2F91" w:rsidRDefault="00BC56C7" w:rsidP="00E74916">
            <w:pPr>
              <w:spacing w:after="0" w:line="240" w:lineRule="auto"/>
              <w:ind w:left="113" w:firstLine="113"/>
              <w:jc w:val="center"/>
              <w:rPr>
                <w:rFonts w:ascii="Arial Narrow" w:eastAsiaTheme="minorHAnsi" w:hAnsi="Arial Narrow" w:cs="Times New Roman"/>
                <w:b/>
                <w:bCs/>
                <w:color w:val="1B1D1F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b/>
                <w:bCs/>
                <w:color w:val="1B1D1F"/>
                <w:sz w:val="24"/>
                <w:szCs w:val="24"/>
              </w:rPr>
              <w:t>K</w:t>
            </w:r>
            <w:r w:rsidR="00E74916" w:rsidRPr="007A2F91">
              <w:rPr>
                <w:rFonts w:ascii="Arial Narrow" w:hAnsi="Arial Narrow" w:cs="Times New Roman"/>
                <w:b/>
                <w:bCs/>
                <w:color w:val="1B1D1F"/>
                <w:sz w:val="24"/>
                <w:szCs w:val="24"/>
              </w:rPr>
              <w:t xml:space="preserve"> r ī z e s   g a d ī j u m ā</w:t>
            </w:r>
          </w:p>
        </w:tc>
      </w:tr>
      <w:tr w:rsidR="00BC56C7" w:rsidRPr="007A2F91" w:rsidTr="007A2F91"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91" w:rsidRPr="007A2F91" w:rsidRDefault="006F0D97" w:rsidP="007A2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color w:val="1B1D1F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Ja ziņas par 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ceļojumu ir iekļautas Konsulārajā reģistrā, sazinā</w:t>
            </w:r>
            <w:r w:rsid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s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 ar ceļotāju krīzes skartajā valstī vai </w:t>
            </w: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 xml:space="preserve">ar tā 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kontak</w:t>
            </w:r>
            <w:r w:rsid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tpersonu Latvijā un pārliecinā</w:t>
            </w:r>
            <w:r w:rsidR="00BC56C7"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s, vai nepieciešama konsulārā palīdzība</w:t>
            </w:r>
            <w:r w:rsidRPr="007A2F91">
              <w:rPr>
                <w:rFonts w:ascii="Arial Narrow" w:hAnsi="Arial Narrow" w:cs="Times New Roman"/>
                <w:color w:val="1B1D1F"/>
                <w:sz w:val="24"/>
                <w:szCs w:val="24"/>
              </w:rPr>
              <w:t>.</w:t>
            </w:r>
            <w:r w:rsidR="007A2F9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BC56C7" w:rsidRPr="007A2F91" w:rsidRDefault="007A2F91" w:rsidP="007A2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color w:val="1B1D1F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Izvērtējot situāciju,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>nosūt</w:t>
            </w:r>
            <w:r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 SMS ar aktuālo informāciju par krīzi un vēstniecības/Konsulārā departamenta kontaktinformāciju.</w:t>
            </w: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91" w:rsidRPr="007A2F91" w:rsidRDefault="006F0D9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Ja </w:t>
            </w:r>
            <w:r w:rsidR="00BC56C7" w:rsidRPr="007A2F91">
              <w:rPr>
                <w:rFonts w:ascii="Arial Narrow" w:hAnsi="Arial Narrow" w:cs="Times New Roman"/>
                <w:sz w:val="24"/>
                <w:szCs w:val="24"/>
              </w:rPr>
              <w:t xml:space="preserve">nav izsludināta evakuācija,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nevar </w:t>
            </w:r>
            <w:r w:rsidR="00BC56C7" w:rsidRPr="007A2F91">
              <w:rPr>
                <w:rFonts w:ascii="Arial Narrow" w:hAnsi="Arial Narrow" w:cs="Times New Roman"/>
                <w:sz w:val="24"/>
                <w:szCs w:val="24"/>
              </w:rPr>
              <w:t>nodrošināt personu izceļošanu no krīzes skartās valsts vai teritorijas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BC56C7" w:rsidRPr="007A2F9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BC56C7" w:rsidRPr="007A2F91" w:rsidRDefault="007A2F91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sz w:val="24"/>
                <w:szCs w:val="24"/>
              </w:rPr>
              <w:t>Nevar Latvijas valstspiederīgajiem nodrošināt labākus apstākļus, nekā tie ir citām krīzē iesaistītajām personām.</w:t>
            </w:r>
          </w:p>
        </w:tc>
      </w:tr>
      <w:tr w:rsidR="00BC56C7" w:rsidRPr="007A2F91" w:rsidTr="007A2F91"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91" w:rsidRPr="007A2F91" w:rsidRDefault="007A2F91" w:rsidP="007A2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Ministrijas </w:t>
            </w:r>
            <w:r w:rsidR="00BC56C7" w:rsidRPr="007A2F91">
              <w:rPr>
                <w:rFonts w:ascii="Arial Narrow" w:hAnsi="Arial Narrow" w:cs="Times New Roman"/>
                <w:sz w:val="24"/>
                <w:szCs w:val="24"/>
              </w:rPr>
              <w:t>mājaslapā publicē aktuālo informāciju par krīzi un kontaktinformāciju saziņai ar ārlietu dienestu</w:t>
            </w:r>
            <w:r w:rsidR="006F0D97" w:rsidRPr="007A2F9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7A2F91" w:rsidRPr="007A2F91" w:rsidRDefault="007A2F91" w:rsidP="007A2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Sniedz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>informāciju par izceļošanas iespējām no krīzes skartās valsts ar citu valstu nodrošinātiem transportlīdzekļiem, ja tādi tiek organizēti.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BC56C7" w:rsidRPr="007A2F91" w:rsidRDefault="007A2F91" w:rsidP="007A2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Sniedz 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>informāciju par pulcēšanās vietām krīzes skartajā valstī.</w:t>
            </w: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91" w:rsidRPr="007A2F91" w:rsidRDefault="006F0D97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Nevar </w:t>
            </w:r>
            <w:r w:rsidR="00BC56C7" w:rsidRPr="007A2F91">
              <w:rPr>
                <w:rFonts w:ascii="Arial Narrow" w:hAnsi="Arial Narrow" w:cs="Times New Roman"/>
                <w:sz w:val="24"/>
                <w:szCs w:val="24"/>
              </w:rPr>
              <w:t>nodrošināt finanšu līdzekļus atpakaļceļam uz Latviju, ja krīzes apstākļu dēļ iegādātā biļete nav izmantojama</w:t>
            </w:r>
            <w:r w:rsidRPr="007A2F91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7A2F91" w:rsidRPr="007A2F9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7A2F91" w:rsidRPr="007A2F91" w:rsidRDefault="007A2F91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sz w:val="24"/>
                <w:szCs w:val="24"/>
              </w:rPr>
              <w:t xml:space="preserve">Nevar izsniegt apliecinājuma dokumentus, ka krīzes apstākļu dēļ ceļotājs kavējis darbu vai mācības. </w:t>
            </w:r>
          </w:p>
          <w:p w:rsidR="00BC56C7" w:rsidRPr="007A2F91" w:rsidRDefault="007A2F91" w:rsidP="00E7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" w:firstLine="113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7A2F91">
              <w:rPr>
                <w:rFonts w:ascii="Arial Narrow" w:hAnsi="Arial Narrow" w:cs="Times New Roman"/>
                <w:sz w:val="24"/>
                <w:szCs w:val="24"/>
              </w:rPr>
              <w:t>Nevar segt izdevumus, kas krīzes dēļ saistīti ar papildu uzturēšanos krīzes skartajā valstī.</w:t>
            </w:r>
          </w:p>
        </w:tc>
      </w:tr>
    </w:tbl>
    <w:p w:rsidR="00467D48" w:rsidRPr="00E74916" w:rsidRDefault="00467D48" w:rsidP="00E74916">
      <w:pPr>
        <w:spacing w:line="240" w:lineRule="auto"/>
        <w:jc w:val="both"/>
        <w:rPr>
          <w:rFonts w:ascii="Arial Narrow" w:hAnsi="Arial Narrow" w:cs="Times New Roman"/>
          <w:sz w:val="2"/>
          <w:szCs w:val="24"/>
        </w:rPr>
      </w:pPr>
    </w:p>
    <w:sectPr w:rsidR="00467D48" w:rsidRPr="00E74916" w:rsidSect="00D9709A">
      <w:pgSz w:w="11906" w:h="16838"/>
      <w:pgMar w:top="567" w:right="85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EDC"/>
    <w:multiLevelType w:val="hybridMultilevel"/>
    <w:tmpl w:val="877C17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C7"/>
    <w:rsid w:val="000941E3"/>
    <w:rsid w:val="00207771"/>
    <w:rsid w:val="003B4BDD"/>
    <w:rsid w:val="00467D48"/>
    <w:rsid w:val="006F0D97"/>
    <w:rsid w:val="007A2F91"/>
    <w:rsid w:val="008F02AF"/>
    <w:rsid w:val="009D1731"/>
    <w:rsid w:val="00A87AE2"/>
    <w:rsid w:val="00B170A6"/>
    <w:rsid w:val="00BC56C7"/>
    <w:rsid w:val="00CC362E"/>
    <w:rsid w:val="00D22BF3"/>
    <w:rsid w:val="00D9709A"/>
    <w:rsid w:val="00E74916"/>
    <w:rsid w:val="00E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D8888-39AA-4E68-8AF7-0FCA24A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C7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E3"/>
    <w:rPr>
      <w:rFonts w:ascii="Tahoma" w:eastAsiaTheme="minorEastAsia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E7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Eglite</dc:creator>
  <cp:lastModifiedBy>aiga.dambe</cp:lastModifiedBy>
  <cp:revision>2</cp:revision>
  <cp:lastPrinted>2016-10-19T14:07:00Z</cp:lastPrinted>
  <dcterms:created xsi:type="dcterms:W3CDTF">2016-12-23T10:08:00Z</dcterms:created>
  <dcterms:modified xsi:type="dcterms:W3CDTF">2016-12-23T10:08:00Z</dcterms:modified>
</cp:coreProperties>
</file>