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31" w:rsidRPr="00D44732" w:rsidRDefault="00AB19B5">
      <w:pPr>
        <w:pStyle w:val="Heading1"/>
        <w:spacing w:before="83"/>
        <w:ind w:left="324"/>
      </w:pPr>
      <w:bookmarkStart w:id="0" w:name="_GoBack"/>
      <w:bookmarkEnd w:id="0"/>
      <w:r w:rsidRPr="00D44732">
        <w:t>Kopīgs dokuments</w:t>
      </w:r>
    </w:p>
    <w:p w:rsidR="002D5131" w:rsidRPr="004F44B6" w:rsidRDefault="002D5131">
      <w:pPr>
        <w:pStyle w:val="BodyText"/>
        <w:rPr>
          <w:rFonts w:ascii="Trebuchet MS"/>
          <w:b/>
          <w:sz w:val="50"/>
        </w:rPr>
      </w:pPr>
    </w:p>
    <w:p w:rsidR="002D5131" w:rsidRPr="004F44B6" w:rsidRDefault="002D5131">
      <w:pPr>
        <w:pStyle w:val="BodyText"/>
        <w:spacing w:before="5"/>
        <w:rPr>
          <w:rFonts w:ascii="Trebuchet MS"/>
          <w:b/>
          <w:sz w:val="72"/>
        </w:rPr>
      </w:pPr>
    </w:p>
    <w:p w:rsidR="002D5131" w:rsidRPr="004E35C0" w:rsidRDefault="00D44732">
      <w:pPr>
        <w:spacing w:line="278" w:lineRule="auto"/>
        <w:ind w:left="325" w:right="307"/>
        <w:jc w:val="center"/>
        <w:rPr>
          <w:rFonts w:ascii="Trebuchet MS"/>
          <w:b/>
          <w:sz w:val="44"/>
        </w:rPr>
      </w:pPr>
      <w:r>
        <w:rPr>
          <w:rFonts w:ascii="Trebuchet MS"/>
          <w:b/>
          <w:sz w:val="44"/>
        </w:rPr>
        <w:t>Pal</w:t>
      </w:r>
      <w:r>
        <w:rPr>
          <w:rFonts w:ascii="Trebuchet MS"/>
          <w:b/>
          <w:sz w:val="44"/>
        </w:rPr>
        <w:t>ī</w:t>
      </w:r>
      <w:r>
        <w:rPr>
          <w:rFonts w:ascii="Trebuchet MS"/>
          <w:b/>
          <w:sz w:val="44"/>
        </w:rPr>
        <w:t>dz</w:t>
      </w:r>
      <w:r>
        <w:rPr>
          <w:rFonts w:ascii="Trebuchet MS"/>
          <w:b/>
          <w:sz w:val="44"/>
        </w:rPr>
        <w:t>ī</w:t>
      </w:r>
      <w:r>
        <w:rPr>
          <w:rFonts w:ascii="Trebuchet MS"/>
          <w:b/>
          <w:sz w:val="44"/>
        </w:rPr>
        <w:t xml:space="preserve">ba </w:t>
      </w:r>
      <w:r w:rsidRPr="00D44732">
        <w:rPr>
          <w:rFonts w:ascii="Trebuchet MS"/>
          <w:b/>
          <w:sz w:val="44"/>
        </w:rPr>
        <w:t>starptautisk</w:t>
      </w:r>
      <w:r w:rsidR="00147904">
        <w:rPr>
          <w:rFonts w:ascii="Trebuchet MS"/>
          <w:b/>
          <w:sz w:val="44"/>
        </w:rPr>
        <w:t>ā</w:t>
      </w:r>
      <w:r w:rsidR="00147904">
        <w:rPr>
          <w:rFonts w:ascii="Trebuchet MS"/>
          <w:b/>
          <w:sz w:val="44"/>
        </w:rPr>
        <w:t>s</w:t>
      </w:r>
      <w:r w:rsidRPr="00D44732">
        <w:rPr>
          <w:rFonts w:ascii="Trebuchet MS"/>
          <w:b/>
          <w:sz w:val="44"/>
        </w:rPr>
        <w:t xml:space="preserve"> sadarb</w:t>
      </w:r>
      <w:r w:rsidRPr="00D44732">
        <w:rPr>
          <w:rFonts w:ascii="Trebuchet MS"/>
          <w:b/>
          <w:sz w:val="44"/>
        </w:rPr>
        <w:t>ī</w:t>
      </w:r>
      <w:r w:rsidRPr="00D44732">
        <w:rPr>
          <w:rFonts w:ascii="Trebuchet MS"/>
          <w:b/>
          <w:sz w:val="44"/>
        </w:rPr>
        <w:t>b</w:t>
      </w:r>
      <w:r w:rsidR="00147904">
        <w:rPr>
          <w:rFonts w:ascii="Trebuchet MS"/>
          <w:b/>
          <w:sz w:val="44"/>
        </w:rPr>
        <w:t>as</w:t>
      </w:r>
      <w:r w:rsidRPr="00D44732">
        <w:rPr>
          <w:rFonts w:ascii="Trebuchet MS"/>
          <w:b/>
          <w:sz w:val="44"/>
        </w:rPr>
        <w:t xml:space="preserve"> krimin</w:t>
      </w:r>
      <w:r w:rsidRPr="00D44732">
        <w:rPr>
          <w:rFonts w:ascii="Trebuchet MS"/>
          <w:b/>
          <w:sz w:val="44"/>
        </w:rPr>
        <w:t>ā</w:t>
      </w:r>
      <w:r w:rsidRPr="00D44732">
        <w:rPr>
          <w:rFonts w:ascii="Trebuchet MS"/>
          <w:b/>
          <w:sz w:val="44"/>
        </w:rPr>
        <w:t>lliet</w:t>
      </w:r>
      <w:r w:rsidRPr="00D44732">
        <w:rPr>
          <w:rFonts w:ascii="Trebuchet MS"/>
          <w:b/>
          <w:sz w:val="44"/>
        </w:rPr>
        <w:t>ā</w:t>
      </w:r>
      <w:r w:rsidRPr="00D44732">
        <w:rPr>
          <w:rFonts w:ascii="Trebuchet MS"/>
          <w:b/>
          <w:sz w:val="44"/>
        </w:rPr>
        <w:t>s</w:t>
      </w:r>
      <w:r w:rsidRPr="004E35C0" w:rsidDel="00D44732">
        <w:rPr>
          <w:rFonts w:ascii="Trebuchet MS"/>
          <w:b/>
          <w:sz w:val="44"/>
        </w:rPr>
        <w:t xml:space="preserve"> </w:t>
      </w:r>
      <w:r>
        <w:rPr>
          <w:rFonts w:ascii="Trebuchet MS"/>
          <w:b/>
          <w:sz w:val="44"/>
        </w:rPr>
        <w:t>jom</w:t>
      </w:r>
      <w:r>
        <w:rPr>
          <w:rFonts w:ascii="Trebuchet MS"/>
          <w:b/>
          <w:sz w:val="44"/>
        </w:rPr>
        <w:t>ā</w:t>
      </w:r>
      <w:r w:rsidRPr="004E35C0">
        <w:rPr>
          <w:rFonts w:ascii="Trebuchet MS"/>
          <w:b/>
          <w:sz w:val="44"/>
        </w:rPr>
        <w:t xml:space="preserve"> </w:t>
      </w:r>
      <w:r>
        <w:rPr>
          <w:rFonts w:ascii="Trebuchet MS"/>
          <w:b/>
          <w:sz w:val="44"/>
        </w:rPr>
        <w:t>nozares speci</w:t>
      </w:r>
      <w:r>
        <w:rPr>
          <w:rFonts w:ascii="Trebuchet MS"/>
          <w:b/>
          <w:sz w:val="44"/>
        </w:rPr>
        <w:t>ā</w:t>
      </w:r>
      <w:r>
        <w:rPr>
          <w:rFonts w:ascii="Trebuchet MS"/>
          <w:b/>
          <w:sz w:val="44"/>
        </w:rPr>
        <w:t>listiem</w:t>
      </w:r>
    </w:p>
    <w:p w:rsidR="002D5131" w:rsidRPr="004F44B6" w:rsidRDefault="002D5131">
      <w:pPr>
        <w:pStyle w:val="BodyText"/>
        <w:rPr>
          <w:rFonts w:ascii="Trebuchet MS"/>
          <w:b/>
          <w:sz w:val="50"/>
        </w:rPr>
      </w:pPr>
    </w:p>
    <w:p w:rsidR="002D5131" w:rsidRPr="00D44732" w:rsidRDefault="00AB19B5">
      <w:pPr>
        <w:spacing w:before="401"/>
        <w:ind w:left="322" w:right="307"/>
        <w:jc w:val="center"/>
        <w:rPr>
          <w:rFonts w:ascii="Trebuchet MS"/>
          <w:b/>
          <w:sz w:val="44"/>
        </w:rPr>
      </w:pPr>
      <w:r w:rsidRPr="004E35C0">
        <w:rPr>
          <w:rFonts w:ascii="Trebuchet MS"/>
          <w:b/>
          <w:sz w:val="44"/>
        </w:rPr>
        <w:t>Eiropas Tiesisk</w:t>
      </w:r>
      <w:r w:rsidRPr="004E35C0">
        <w:rPr>
          <w:rFonts w:ascii="Trebuchet MS"/>
          <w:b/>
          <w:sz w:val="44"/>
        </w:rPr>
        <w:t>ā</w:t>
      </w:r>
      <w:r w:rsidRPr="00D44732">
        <w:rPr>
          <w:rFonts w:ascii="Trebuchet MS"/>
          <w:b/>
          <w:sz w:val="44"/>
        </w:rPr>
        <w:t>s sadarb</w:t>
      </w:r>
      <w:r w:rsidRPr="00D44732">
        <w:rPr>
          <w:rFonts w:ascii="Trebuchet MS"/>
          <w:b/>
          <w:sz w:val="44"/>
        </w:rPr>
        <w:t>ī</w:t>
      </w:r>
      <w:r w:rsidRPr="00D44732">
        <w:rPr>
          <w:rFonts w:ascii="Trebuchet MS"/>
          <w:b/>
          <w:sz w:val="44"/>
        </w:rPr>
        <w:t>bas t</w:t>
      </w:r>
      <w:r w:rsidRPr="00D44732">
        <w:rPr>
          <w:rFonts w:ascii="Trebuchet MS"/>
          <w:b/>
          <w:sz w:val="44"/>
        </w:rPr>
        <w:t>ī</w:t>
      </w:r>
      <w:r w:rsidRPr="00D44732">
        <w:rPr>
          <w:rFonts w:ascii="Trebuchet MS"/>
          <w:b/>
          <w:sz w:val="44"/>
        </w:rPr>
        <w:t>kls un Eurojust</w:t>
      </w:r>
    </w:p>
    <w:p w:rsidR="002D5131" w:rsidRPr="004F44B6" w:rsidRDefault="002D5131">
      <w:pPr>
        <w:pStyle w:val="BodyText"/>
        <w:rPr>
          <w:rFonts w:ascii="Trebuchet MS"/>
          <w:b/>
          <w:sz w:val="50"/>
        </w:rPr>
      </w:pPr>
    </w:p>
    <w:p w:rsidR="002D5131" w:rsidRPr="004F44B6" w:rsidRDefault="002D5131">
      <w:pPr>
        <w:pStyle w:val="BodyText"/>
        <w:spacing w:before="6"/>
        <w:rPr>
          <w:rFonts w:ascii="Trebuchet MS"/>
          <w:b/>
          <w:sz w:val="41"/>
        </w:rPr>
      </w:pPr>
    </w:p>
    <w:p w:rsidR="002D5131" w:rsidRPr="00D44732" w:rsidRDefault="00AB19B5">
      <w:pPr>
        <w:spacing w:before="1"/>
        <w:ind w:left="325" w:right="305"/>
        <w:jc w:val="center"/>
        <w:rPr>
          <w:rFonts w:ascii="Trebuchet MS"/>
          <w:b/>
          <w:i/>
          <w:sz w:val="44"/>
        </w:rPr>
      </w:pPr>
      <w:r w:rsidRPr="004E35C0">
        <w:rPr>
          <w:rFonts w:ascii="Trebuchet MS"/>
          <w:b/>
          <w:i/>
          <w:sz w:val="44"/>
        </w:rPr>
        <w:t>K</w:t>
      </w:r>
      <w:r w:rsidRPr="004E35C0">
        <w:rPr>
          <w:rFonts w:ascii="Trebuchet MS"/>
          <w:b/>
          <w:i/>
          <w:sz w:val="44"/>
        </w:rPr>
        <w:t>ā</w:t>
      </w:r>
      <w:r w:rsidRPr="00D44732">
        <w:rPr>
          <w:rFonts w:ascii="Trebuchet MS"/>
          <w:b/>
          <w:i/>
          <w:sz w:val="44"/>
        </w:rPr>
        <w:t xml:space="preserve"> m</w:t>
      </w:r>
      <w:r w:rsidRPr="00D44732">
        <w:rPr>
          <w:rFonts w:ascii="Trebuchet MS"/>
          <w:b/>
          <w:i/>
          <w:sz w:val="44"/>
        </w:rPr>
        <w:t>ē</w:t>
      </w:r>
      <w:r w:rsidRPr="00D44732">
        <w:rPr>
          <w:rFonts w:ascii="Trebuchet MS"/>
          <w:b/>
          <w:i/>
          <w:sz w:val="44"/>
        </w:rPr>
        <w:t>s varam jums pal</w:t>
      </w:r>
      <w:r w:rsidRPr="00D44732">
        <w:rPr>
          <w:rFonts w:ascii="Trebuchet MS"/>
          <w:b/>
          <w:i/>
          <w:sz w:val="44"/>
        </w:rPr>
        <w:t>ī</w:t>
      </w:r>
      <w:r w:rsidRPr="00D44732">
        <w:rPr>
          <w:rFonts w:ascii="Trebuchet MS"/>
          <w:b/>
          <w:i/>
          <w:sz w:val="44"/>
        </w:rPr>
        <w:t>dz</w:t>
      </w:r>
      <w:r w:rsidRPr="00D44732">
        <w:rPr>
          <w:rFonts w:ascii="Trebuchet MS"/>
          <w:b/>
          <w:i/>
          <w:sz w:val="44"/>
        </w:rPr>
        <w:t>ē</w:t>
      </w:r>
      <w:r w:rsidRPr="00D44732">
        <w:rPr>
          <w:rFonts w:ascii="Trebuchet MS"/>
          <w:b/>
          <w:i/>
          <w:sz w:val="44"/>
        </w:rPr>
        <w:t>t?</w:t>
      </w:r>
    </w:p>
    <w:p w:rsidR="002D5131" w:rsidRPr="004F44B6" w:rsidRDefault="002D5131">
      <w:pPr>
        <w:pStyle w:val="BodyText"/>
        <w:rPr>
          <w:rFonts w:ascii="Trebuchet MS"/>
          <w:b/>
          <w:i/>
          <w:sz w:val="20"/>
        </w:rPr>
      </w:pPr>
    </w:p>
    <w:p w:rsidR="002D5131" w:rsidRPr="004F44B6" w:rsidRDefault="002D5131">
      <w:pPr>
        <w:pStyle w:val="BodyText"/>
        <w:rPr>
          <w:rFonts w:ascii="Trebuchet MS"/>
          <w:b/>
          <w:i/>
          <w:sz w:val="20"/>
        </w:rPr>
      </w:pPr>
    </w:p>
    <w:p w:rsidR="002D5131" w:rsidRPr="004F44B6" w:rsidRDefault="002D5131">
      <w:pPr>
        <w:pStyle w:val="BodyText"/>
        <w:rPr>
          <w:rFonts w:ascii="Trebuchet MS"/>
          <w:b/>
          <w:i/>
          <w:sz w:val="20"/>
        </w:rPr>
      </w:pPr>
    </w:p>
    <w:p w:rsidR="002D5131" w:rsidRPr="004F44B6" w:rsidRDefault="002D5131">
      <w:pPr>
        <w:pStyle w:val="BodyText"/>
        <w:rPr>
          <w:rFonts w:ascii="Trebuchet MS"/>
          <w:b/>
          <w:i/>
          <w:sz w:val="20"/>
        </w:rPr>
      </w:pPr>
    </w:p>
    <w:p w:rsidR="002D5131" w:rsidRPr="004F44B6" w:rsidRDefault="002D5131">
      <w:pPr>
        <w:pStyle w:val="BodyText"/>
        <w:rPr>
          <w:rFonts w:ascii="Trebuchet MS"/>
          <w:b/>
          <w:i/>
          <w:sz w:val="20"/>
        </w:rPr>
      </w:pPr>
    </w:p>
    <w:p w:rsidR="002D5131" w:rsidRPr="004F44B6" w:rsidRDefault="002D5131">
      <w:pPr>
        <w:pStyle w:val="BodyText"/>
        <w:rPr>
          <w:rFonts w:ascii="Trebuchet MS"/>
          <w:b/>
          <w:i/>
          <w:sz w:val="20"/>
        </w:rPr>
      </w:pPr>
    </w:p>
    <w:p w:rsidR="002D5131" w:rsidRPr="004F44B6" w:rsidRDefault="002D5131">
      <w:pPr>
        <w:pStyle w:val="BodyText"/>
        <w:rPr>
          <w:rFonts w:ascii="Trebuchet MS"/>
          <w:b/>
          <w:i/>
          <w:sz w:val="20"/>
        </w:rPr>
      </w:pPr>
    </w:p>
    <w:p w:rsidR="002D5131" w:rsidRPr="004F44B6" w:rsidRDefault="002D5131">
      <w:pPr>
        <w:pStyle w:val="BodyText"/>
        <w:rPr>
          <w:rFonts w:ascii="Trebuchet MS"/>
          <w:b/>
          <w:i/>
          <w:sz w:val="20"/>
        </w:rPr>
      </w:pPr>
    </w:p>
    <w:p w:rsidR="002D5131" w:rsidRPr="004F44B6" w:rsidRDefault="002D5131">
      <w:pPr>
        <w:pStyle w:val="BodyText"/>
        <w:rPr>
          <w:rFonts w:ascii="Trebuchet MS"/>
          <w:b/>
          <w:i/>
          <w:sz w:val="20"/>
        </w:rPr>
      </w:pPr>
    </w:p>
    <w:p w:rsidR="002D5131" w:rsidRPr="004F44B6" w:rsidRDefault="002D5131">
      <w:pPr>
        <w:pStyle w:val="BodyText"/>
        <w:rPr>
          <w:rFonts w:ascii="Trebuchet MS"/>
          <w:b/>
          <w:i/>
          <w:sz w:val="20"/>
        </w:rPr>
      </w:pPr>
    </w:p>
    <w:p w:rsidR="002D5131" w:rsidRPr="004E35C0" w:rsidRDefault="00AB19B5">
      <w:pPr>
        <w:pStyle w:val="BodyText"/>
        <w:spacing w:before="7"/>
        <w:rPr>
          <w:rFonts w:ascii="Trebuchet MS"/>
          <w:b/>
          <w:i/>
          <w:sz w:val="25"/>
        </w:rPr>
      </w:pPr>
      <w:r w:rsidRPr="00CC0BC3">
        <w:rPr>
          <w:noProof/>
          <w:lang w:val="en-GB" w:eastAsia="en-GB" w:bidi="ar-SA"/>
        </w:rPr>
        <w:drawing>
          <wp:anchor distT="0" distB="0" distL="0" distR="0" simplePos="0" relativeHeight="251656704" behindDoc="0" locked="0" layoutInCell="1" allowOverlap="1">
            <wp:simplePos x="0" y="0"/>
            <wp:positionH relativeFrom="page">
              <wp:posOffset>901063</wp:posOffset>
            </wp:positionH>
            <wp:positionV relativeFrom="paragraph">
              <wp:posOffset>213725</wp:posOffset>
            </wp:positionV>
            <wp:extent cx="2103310" cy="21033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103310" cy="2103310"/>
                    </a:xfrm>
                    <a:prstGeom prst="rect">
                      <a:avLst/>
                    </a:prstGeom>
                  </pic:spPr>
                </pic:pic>
              </a:graphicData>
            </a:graphic>
          </wp:anchor>
        </w:drawing>
      </w:r>
      <w:r w:rsidRPr="004F44B6">
        <w:rPr>
          <w:noProof/>
          <w:lang w:val="en-GB" w:eastAsia="en-GB" w:bidi="ar-SA"/>
        </w:rPr>
        <w:drawing>
          <wp:anchor distT="0" distB="0" distL="0" distR="0" simplePos="0" relativeHeight="251657728" behindDoc="0" locked="0" layoutInCell="1" allowOverlap="1">
            <wp:simplePos x="0" y="0"/>
            <wp:positionH relativeFrom="page">
              <wp:posOffset>4043910</wp:posOffset>
            </wp:positionH>
            <wp:positionV relativeFrom="paragraph">
              <wp:posOffset>268488</wp:posOffset>
            </wp:positionV>
            <wp:extent cx="1672208" cy="1747647"/>
            <wp:effectExtent l="0" t="0" r="0" b="0"/>
            <wp:wrapTopAndBottom/>
            <wp:docPr id="3" name="image2.jpeg" descr="Eurojus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672208" cy="1747647"/>
                    </a:xfrm>
                    <a:prstGeom prst="rect">
                      <a:avLst/>
                    </a:prstGeom>
                  </pic:spPr>
                </pic:pic>
              </a:graphicData>
            </a:graphic>
          </wp:anchor>
        </w:drawing>
      </w:r>
    </w:p>
    <w:p w:rsidR="002D5131" w:rsidRPr="004F44B6" w:rsidRDefault="002D5131">
      <w:pPr>
        <w:rPr>
          <w:rFonts w:ascii="Trebuchet MS"/>
          <w:sz w:val="25"/>
        </w:rPr>
        <w:sectPr w:rsidR="002D5131" w:rsidRPr="004F44B6">
          <w:footerReference w:type="default" r:id="rId16"/>
          <w:type w:val="continuous"/>
          <w:pgSz w:w="11910" w:h="16840"/>
          <w:pgMar w:top="1160" w:right="1320" w:bottom="1440" w:left="1300" w:header="720" w:footer="1250" w:gutter="0"/>
          <w:cols w:space="720"/>
        </w:sectPr>
      </w:pPr>
    </w:p>
    <w:p w:rsidR="002D5131" w:rsidRPr="004E35C0" w:rsidRDefault="00AB19B5">
      <w:pPr>
        <w:pStyle w:val="Heading2"/>
        <w:ind w:left="140" w:firstLine="0"/>
      </w:pPr>
      <w:r w:rsidRPr="004E35C0">
        <w:lastRenderedPageBreak/>
        <w:t>Ievads</w:t>
      </w:r>
    </w:p>
    <w:p w:rsidR="002D5131" w:rsidRPr="00D44732" w:rsidRDefault="00AB19B5">
      <w:pPr>
        <w:pStyle w:val="BodyText"/>
        <w:spacing w:before="260" w:line="276" w:lineRule="auto"/>
        <w:ind w:left="140" w:right="112"/>
        <w:jc w:val="both"/>
      </w:pPr>
      <w:r w:rsidRPr="00D44732">
        <w:t xml:space="preserve">Šajā dokumentā sniegta informācija </w:t>
      </w:r>
      <w:r w:rsidR="00D44732">
        <w:t xml:space="preserve">dalībvalstu </w:t>
      </w:r>
      <w:r w:rsidR="00D44732" w:rsidRPr="00D44732">
        <w:t>juridisko profesiju pārstāvjiem</w:t>
      </w:r>
      <w:r w:rsidR="00D44732">
        <w:t xml:space="preserve"> </w:t>
      </w:r>
      <w:r w:rsidRPr="00D44732">
        <w:t>par pakalpojumiem un palīdzību, kas pieejam</w:t>
      </w:r>
      <w:r w:rsidR="004F0289">
        <w:t>i</w:t>
      </w:r>
      <w:r w:rsidRPr="004E35C0">
        <w:t xml:space="preserve"> </w:t>
      </w:r>
      <w:r w:rsidR="00D44732" w:rsidRPr="00D44732">
        <w:t>starptautisk</w:t>
      </w:r>
      <w:r w:rsidR="00D44732">
        <w:t>ās</w:t>
      </w:r>
      <w:r w:rsidR="00D44732" w:rsidRPr="00D44732">
        <w:t xml:space="preserve"> </w:t>
      </w:r>
      <w:r w:rsidR="00D44732">
        <w:t>sadarbības</w:t>
      </w:r>
      <w:r w:rsidR="00D44732" w:rsidRPr="00D44732">
        <w:t xml:space="preserve"> krimināllietās</w:t>
      </w:r>
      <w:r w:rsidR="00D44732">
        <w:t xml:space="preserve"> jomā</w:t>
      </w:r>
      <w:r w:rsidRPr="004E35C0">
        <w:t xml:space="preserve">, </w:t>
      </w:r>
      <w:r w:rsidRPr="00D44732">
        <w:t xml:space="preserve">ko </w:t>
      </w:r>
      <w:r w:rsidR="004F0289">
        <w:t>var sniegt</w:t>
      </w:r>
      <w:r w:rsidR="004F0289" w:rsidRPr="004E35C0">
        <w:t xml:space="preserve"> </w:t>
      </w:r>
      <w:r w:rsidRPr="004E35C0">
        <w:t>Eiropas Tiesiskās sadarbības tīkls (ETST) un Eurojust</w:t>
      </w:r>
      <w:r w:rsidRPr="00D44732">
        <w:t>.</w:t>
      </w:r>
    </w:p>
    <w:p w:rsidR="002D5131" w:rsidRPr="00D44732" w:rsidRDefault="00AB19B5">
      <w:pPr>
        <w:pStyle w:val="BodyText"/>
        <w:spacing w:before="199" w:line="276" w:lineRule="auto"/>
        <w:ind w:left="139" w:right="114"/>
        <w:jc w:val="both"/>
      </w:pPr>
      <w:r w:rsidRPr="00D44732">
        <w:t>Šī dokumenta mērķis ir palīdzēt speciālistiem izlemt, vai lietas jāskata ETST vai Eurojust. Tāpat dokuments nodrošina, ka gan ETST, gan Eurojust izskatīs lietas, kas ir to jurisdikcijā, efektīvi izmantojot laiku un resursus un novēršot darba dublēšanos.</w:t>
      </w:r>
    </w:p>
    <w:p w:rsidR="002D5131" w:rsidRPr="00D44732" w:rsidRDefault="00AB19B5">
      <w:pPr>
        <w:pStyle w:val="Heading2"/>
        <w:numPr>
          <w:ilvl w:val="0"/>
          <w:numId w:val="2"/>
        </w:numPr>
        <w:tabs>
          <w:tab w:val="left" w:pos="860"/>
        </w:tabs>
        <w:spacing w:before="190"/>
        <w:ind w:hanging="719"/>
        <w:jc w:val="both"/>
      </w:pPr>
      <w:r w:rsidRPr="00D44732">
        <w:t>Kas ir Eiropas Tiesiskās sadarbības tīkls?</w:t>
      </w:r>
    </w:p>
    <w:p w:rsidR="002D5131" w:rsidRPr="00D44732" w:rsidRDefault="00AB19B5">
      <w:pPr>
        <w:pStyle w:val="BodyText"/>
        <w:spacing w:before="260" w:line="276" w:lineRule="auto"/>
        <w:ind w:left="140" w:right="116"/>
        <w:jc w:val="both"/>
      </w:pPr>
      <w:r w:rsidRPr="00D44732">
        <w:t xml:space="preserve">ETST </w:t>
      </w:r>
      <w:r w:rsidR="00574B29">
        <w:t xml:space="preserve">tīklā ietilpst </w:t>
      </w:r>
      <w:r w:rsidRPr="00D44732">
        <w:t>vairāk nekā 350</w:t>
      </w:r>
      <w:r w:rsidR="004F0289">
        <w:t> </w:t>
      </w:r>
      <w:r w:rsidRPr="004E35C0">
        <w:t xml:space="preserve">kontaktpunktu 28 dalībvalstīs, </w:t>
      </w:r>
      <w:r w:rsidR="004F0289" w:rsidRPr="004F0289">
        <w:t>kur</w:t>
      </w:r>
      <w:r w:rsidR="004F0289">
        <w:t>u</w:t>
      </w:r>
      <w:r w:rsidR="004F0289" w:rsidRPr="004F0289">
        <w:t xml:space="preserve"> darbības nolūks ir uzlabot</w:t>
      </w:r>
      <w:r w:rsidR="004F0289" w:rsidRPr="004E35C0" w:rsidDel="004F0289">
        <w:t xml:space="preserve"> </w:t>
      </w:r>
      <w:r w:rsidR="004F0289" w:rsidRPr="004F0289">
        <w:t>starptautisk</w:t>
      </w:r>
      <w:r w:rsidR="004F0289">
        <w:t>o</w:t>
      </w:r>
      <w:r w:rsidR="004F0289" w:rsidRPr="004F0289">
        <w:t xml:space="preserve"> tiesisk</w:t>
      </w:r>
      <w:r w:rsidR="004F0289">
        <w:t>o</w:t>
      </w:r>
      <w:r w:rsidR="004F0289" w:rsidRPr="004F0289">
        <w:t xml:space="preserve"> sadarbīb</w:t>
      </w:r>
      <w:r w:rsidR="004F0289">
        <w:t>u</w:t>
      </w:r>
      <w:r w:rsidR="004F0289" w:rsidRPr="004F0289">
        <w:t xml:space="preserve"> krimināllietās</w:t>
      </w:r>
      <w:r w:rsidRPr="004E35C0">
        <w:t>.</w:t>
      </w:r>
    </w:p>
    <w:p w:rsidR="002D5131" w:rsidRPr="00D44732" w:rsidRDefault="00AB19B5">
      <w:pPr>
        <w:pStyle w:val="BodyText"/>
        <w:spacing w:before="201" w:line="276" w:lineRule="auto"/>
        <w:ind w:left="139" w:right="114"/>
        <w:jc w:val="both"/>
      </w:pPr>
      <w:r w:rsidRPr="00D44732">
        <w:t xml:space="preserve">Kontaktpunkti ir prokurori, tiesneši un citas amatpersonas, kas ikdienā strādā ar jautājumiem, kas saistīti ar starptautisko sadarbību. Kontaktpunktus nosaka katra dalībvalsts no savām centrālajām iestādēm, tiesu iestādēm vai citām iestādēm, kas </w:t>
      </w:r>
      <w:r w:rsidR="004F0289">
        <w:t>nodrošina</w:t>
      </w:r>
      <w:r w:rsidR="004F0289" w:rsidRPr="004E35C0">
        <w:t xml:space="preserve"> </w:t>
      </w:r>
      <w:r w:rsidRPr="004E35C0">
        <w:t>starptautisko sadarbību gan kopumā, gan noteiktos smagu noziegumu jautājumos, pie</w:t>
      </w:r>
      <w:r w:rsidRPr="00D44732">
        <w:t>mēram, organizētā noziedzība, korupcija, narkotiku tirdzniecība un terorisms.</w:t>
      </w:r>
    </w:p>
    <w:p w:rsidR="002D5131" w:rsidRPr="00D44732" w:rsidRDefault="00AB19B5">
      <w:pPr>
        <w:pStyle w:val="BodyText"/>
        <w:spacing w:before="199" w:line="276" w:lineRule="auto"/>
        <w:ind w:left="139" w:right="118"/>
        <w:jc w:val="both"/>
      </w:pPr>
      <w:r w:rsidRPr="00D44732">
        <w:t>ETST ir nodibinājis ciešas attiecības ar citiem tiesiskās sadarbības tīkliem un kontaktpunktiem trešajās valstīs. ETST kontaktpunkti tādējādi var sniegt palīdzību lietās visā pasaulē.</w:t>
      </w:r>
    </w:p>
    <w:p w:rsidR="002D5131" w:rsidRPr="00D44732" w:rsidRDefault="00AB19B5">
      <w:pPr>
        <w:pStyle w:val="BodyText"/>
        <w:spacing w:before="200" w:line="276" w:lineRule="auto"/>
        <w:ind w:left="139" w:right="115"/>
        <w:jc w:val="both"/>
      </w:pPr>
      <w:r w:rsidRPr="00D44732">
        <w:t xml:space="preserve">ETST sekretariāts, kas atrodas Hāgā, ir ETST administratīvā vienība. Lai nodrošinātu ciešu saziņu starp Eurojust un ETST, sekretariāts </w:t>
      </w:r>
      <w:r w:rsidR="004F0289">
        <w:t>i</w:t>
      </w:r>
      <w:r w:rsidR="004F0289" w:rsidRPr="004F0289">
        <w:t>r</w:t>
      </w:r>
      <w:r w:rsidR="00D64C8A">
        <w:t xml:space="preserve"> veidots kā</w:t>
      </w:r>
      <w:r w:rsidR="004F0289" w:rsidRPr="004F0289">
        <w:t xml:space="preserve"> Eurojust personāla daļa</w:t>
      </w:r>
      <w:r w:rsidRPr="004E35C0">
        <w:t xml:space="preserve">, taču tas funkcionē kā atsevišķa struktūrvienība. ETST sekretariāts ir atbildīgs cita starpā par atbalsta sniegšanu kontaktpunktiem </w:t>
      </w:r>
      <w:r w:rsidR="004F0289">
        <w:t>to</w:t>
      </w:r>
      <w:r w:rsidR="004F0289" w:rsidRPr="004E35C0">
        <w:t xml:space="preserve"> </w:t>
      </w:r>
      <w:r w:rsidRPr="004E35C0">
        <w:t>uzdevumu izpildē, ETST tīmekļa vietnes un e-rīku izveidi, uzturēšanu un pilnveidi, kā arī par vispārīgu ETST administrēšanu.</w:t>
      </w:r>
    </w:p>
    <w:p w:rsidR="002D5131" w:rsidRPr="004E35C0" w:rsidRDefault="00AB19B5">
      <w:pPr>
        <w:pStyle w:val="BodyText"/>
        <w:spacing w:before="200" w:line="276" w:lineRule="auto"/>
        <w:ind w:left="140" w:right="115"/>
        <w:jc w:val="both"/>
      </w:pPr>
      <w:r w:rsidRPr="00D44732">
        <w:t xml:space="preserve">Vairāk informācijas par ETST sekretariātu pieejama </w:t>
      </w:r>
      <w:hyperlink r:id="rId17">
        <w:r w:rsidRPr="004E35C0">
          <w:rPr>
            <w:color w:val="0000FF"/>
            <w:u w:val="single" w:color="0000FF"/>
          </w:rPr>
          <w:t>http://www.ejn-</w:t>
        </w:r>
      </w:hyperlink>
      <w:r w:rsidRPr="004E35C0">
        <w:rPr>
          <w:color w:val="0000FF"/>
        </w:rPr>
        <w:t xml:space="preserve"> </w:t>
      </w:r>
      <w:hyperlink r:id="rId18">
        <w:r w:rsidRPr="004E35C0">
          <w:rPr>
            <w:color w:val="0000FF"/>
            <w:u w:val="single" w:color="0000FF"/>
          </w:rPr>
          <w:t>crimjust.europa.eu/ejn/EJN_Secretariat.aspx</w:t>
        </w:r>
      </w:hyperlink>
      <w:r w:rsidRPr="004E35C0">
        <w:t xml:space="preserve"> vai, sazinoties ar ETST sekretariātu: </w:t>
      </w:r>
      <w:hyperlink r:id="rId19">
        <w:r w:rsidRPr="004E35C0">
          <w:rPr>
            <w:color w:val="0000FF"/>
            <w:u w:val="single" w:color="0000FF"/>
          </w:rPr>
          <w:t>ejn@eurojust.europa.eu</w:t>
        </w:r>
        <w:r w:rsidRPr="00D44732">
          <w:t>.</w:t>
        </w:r>
      </w:hyperlink>
    </w:p>
    <w:p w:rsidR="002D5131" w:rsidRPr="00D44732" w:rsidRDefault="00AB19B5">
      <w:pPr>
        <w:pStyle w:val="Heading3"/>
        <w:spacing w:before="187"/>
        <w:jc w:val="both"/>
      </w:pPr>
      <w:r w:rsidRPr="00D44732">
        <w:t>ETST tīmekļa vietne</w:t>
      </w:r>
    </w:p>
    <w:p w:rsidR="002D5131" w:rsidRPr="00D44732" w:rsidRDefault="002D5131">
      <w:pPr>
        <w:pStyle w:val="BodyText"/>
        <w:spacing w:before="7"/>
        <w:rPr>
          <w:rFonts w:ascii="Trebuchet MS"/>
          <w:b/>
          <w:sz w:val="21"/>
        </w:rPr>
      </w:pPr>
    </w:p>
    <w:p w:rsidR="002D5131" w:rsidRPr="004E35C0" w:rsidRDefault="00AB19B5">
      <w:pPr>
        <w:pStyle w:val="BodyText"/>
        <w:spacing w:line="276" w:lineRule="auto"/>
        <w:ind w:left="139" w:right="114"/>
        <w:jc w:val="both"/>
      </w:pPr>
      <w:r w:rsidRPr="00D44732">
        <w:t xml:space="preserve">ETST tīmekļa vietne </w:t>
      </w:r>
      <w:hyperlink r:id="rId20">
        <w:r w:rsidRPr="004E35C0">
          <w:rPr>
            <w:color w:val="0000FF"/>
            <w:u w:val="single" w:color="0000FF"/>
          </w:rPr>
          <w:t>www.ejn-crimjust.europa.eu</w:t>
        </w:r>
        <w:r w:rsidRPr="00D44732">
          <w:t xml:space="preserve"> </w:t>
        </w:r>
      </w:hyperlink>
      <w:r w:rsidRPr="004E35C0">
        <w:t xml:space="preserve">tika izveidota, lai sniegtu atbalstu speciālistiem, kas iesaistīti starptautiskajā tiesiskajā sadarbībā. Šajā dokumentā sniegta vispārīga informācija par tiesisko sadarbību ES dalībvalstīs, ES kandidātvalstīs un ETST partnervalstīs. Tāpat jūs varat izmantot ETST elektroniskos rīkus, lai īstenotu tiesisko sadarbību. Skatīt sadaļu </w:t>
      </w:r>
      <w:r w:rsidR="007E68CF" w:rsidRPr="007E68CF">
        <w:t>„</w:t>
      </w:r>
      <w:r w:rsidRPr="004E35C0">
        <w:t>T</w:t>
      </w:r>
      <w:r w:rsidRPr="00D44732">
        <w:t>iesiskās sadarbības veicināšana</w:t>
      </w:r>
      <w:r w:rsidR="007E68CF" w:rsidRPr="007E68CF">
        <w:t>“</w:t>
      </w:r>
      <w:r w:rsidRPr="00D44732">
        <w:t xml:space="preserve">. Tāpat ETST tīmekļa vietnē ir sadaļa, kas paredzēta sadarbībai ar trešajām valstīm un citiem tiesiskās sadarbības tīkliem. ETST kontaktpunktiem ir pieeja daudziem kontaktpunktiem ārpus Eiropas Savienības. Skatīt: </w:t>
      </w:r>
      <w:hyperlink r:id="rId21">
        <w:r w:rsidRPr="004E35C0">
          <w:rPr>
            <w:color w:val="0000FF"/>
            <w:u w:val="single" w:color="0000FF"/>
          </w:rPr>
          <w:t>https://www.ejnforum.eu/cp/network-</w:t>
        </w:r>
      </w:hyperlink>
      <w:hyperlink r:id="rId22">
        <w:r w:rsidRPr="004E35C0">
          <w:rPr>
            <w:color w:val="0000FF"/>
            <w:u w:val="single" w:color="0000FF"/>
          </w:rPr>
          <w:t>atlas</w:t>
        </w:r>
      </w:hyperlink>
      <w:r w:rsidR="004F1266" w:rsidRPr="00D44732">
        <w:t>.</w:t>
      </w:r>
    </w:p>
    <w:p w:rsidR="00695D9B" w:rsidRPr="00D44732" w:rsidRDefault="00AB19B5" w:rsidP="00695D9B">
      <w:pPr>
        <w:pStyle w:val="BodyText"/>
        <w:spacing w:before="200" w:line="276" w:lineRule="auto"/>
        <w:ind w:left="140" w:right="116"/>
        <w:jc w:val="both"/>
      </w:pPr>
      <w:r w:rsidRPr="00D44732">
        <w:t xml:space="preserve">ETST tīmekļa vietnes galvenās sadaļas ir iztulkotas ES oficiālajās valodās. Ja nevarat atrast informāciju, ko meklējat, jūs vienmēr varat </w:t>
      </w:r>
      <w:r w:rsidR="007E68CF">
        <w:t xml:space="preserve">vērsties pēc palīdzības jūsu dalībvalsts </w:t>
      </w:r>
      <w:r w:rsidRPr="00D44732">
        <w:t>ETST kontaktpunkt</w:t>
      </w:r>
      <w:r w:rsidR="007E68CF">
        <w:t>ā</w:t>
      </w:r>
      <w:r w:rsidRPr="00D44732">
        <w:t>.</w:t>
      </w:r>
    </w:p>
    <w:p w:rsidR="002D5131" w:rsidRPr="004F44B6" w:rsidRDefault="00AB19B5" w:rsidP="00695D9B">
      <w:pPr>
        <w:pStyle w:val="BodyText"/>
        <w:spacing w:before="200" w:line="276" w:lineRule="auto"/>
        <w:ind w:left="140" w:right="116"/>
        <w:jc w:val="both"/>
        <w:rPr>
          <w:b/>
        </w:rPr>
      </w:pPr>
      <w:r w:rsidRPr="004F44B6">
        <w:rPr>
          <w:b/>
        </w:rPr>
        <w:t>Kā ETST var jums palīdzēt?</w:t>
      </w:r>
    </w:p>
    <w:p w:rsidR="002D5131" w:rsidRPr="004F44B6" w:rsidRDefault="002D5131">
      <w:pPr>
        <w:pStyle w:val="BodyText"/>
        <w:spacing w:before="7"/>
        <w:rPr>
          <w:rFonts w:ascii="Trebuchet MS"/>
          <w:b/>
          <w:sz w:val="21"/>
        </w:rPr>
      </w:pPr>
    </w:p>
    <w:p w:rsidR="002D5131" w:rsidRPr="00D44732" w:rsidRDefault="00AB19B5">
      <w:pPr>
        <w:pStyle w:val="BodyText"/>
        <w:spacing w:line="276" w:lineRule="auto"/>
        <w:ind w:left="140" w:right="113"/>
        <w:jc w:val="both"/>
      </w:pPr>
      <w:r w:rsidRPr="004E35C0">
        <w:t xml:space="preserve">Ja jums nepieciešama ETST palīdzība, jūs varat sazināties ar vienu no kontaktpunktiem jūsu </w:t>
      </w:r>
      <w:r w:rsidRPr="004E35C0">
        <w:lastRenderedPageBreak/>
        <w:t>valstī vai kontaktpunktu valstī, kas iesaistīta lietā. ETST kontaktpunktu saraksts ETST tīmekļa vietnē ir aizsargāts ar paroli, taču tas ir pieejams ETST kontaktpunktiem jūsu dalībvalstī. Tāpēc, ja jums nepieciešama palīdzība, lai sazinātos ar ETST citā dalībvalstī, vislabāk to iespējams izdarīt, vēršoti</w:t>
      </w:r>
      <w:r w:rsidRPr="00D44732">
        <w:t>es pie kāda no ETST kontaktpunktiem jūsu valstī.</w:t>
      </w:r>
    </w:p>
    <w:p w:rsidR="002D5131" w:rsidRPr="00D44732" w:rsidRDefault="00AB19B5">
      <w:pPr>
        <w:pStyle w:val="BodyText"/>
        <w:spacing w:before="201"/>
        <w:ind w:left="140"/>
      </w:pPr>
      <w:r w:rsidRPr="00D44732">
        <w:t>ETST jāizmanto šādos gadījumos:</w:t>
      </w:r>
    </w:p>
    <w:p w:rsidR="002D5131" w:rsidRPr="004F44B6" w:rsidRDefault="002D5131">
      <w:pPr>
        <w:pStyle w:val="BodyText"/>
        <w:spacing w:before="4"/>
        <w:rPr>
          <w:sz w:val="20"/>
        </w:rPr>
      </w:pPr>
    </w:p>
    <w:p w:rsidR="002D5131" w:rsidRPr="004E35C0" w:rsidRDefault="00AB19B5">
      <w:pPr>
        <w:pStyle w:val="Heading4"/>
        <w:numPr>
          <w:ilvl w:val="1"/>
          <w:numId w:val="2"/>
        </w:numPr>
        <w:tabs>
          <w:tab w:val="left" w:pos="860"/>
          <w:tab w:val="left" w:pos="861"/>
        </w:tabs>
        <w:ind w:hanging="360"/>
      </w:pPr>
      <w:r w:rsidRPr="004E35C0">
        <w:t>Tiesiskās sadarbības veicināšana</w:t>
      </w:r>
    </w:p>
    <w:p w:rsidR="002D5131" w:rsidRPr="004F44B6" w:rsidRDefault="002D5131">
      <w:pPr>
        <w:pStyle w:val="BodyText"/>
        <w:spacing w:before="2"/>
        <w:rPr>
          <w:b/>
          <w:i/>
          <w:sz w:val="20"/>
        </w:rPr>
      </w:pPr>
    </w:p>
    <w:p w:rsidR="002D5131" w:rsidRPr="00D44732" w:rsidRDefault="00AB19B5">
      <w:pPr>
        <w:pStyle w:val="BodyText"/>
        <w:spacing w:line="276" w:lineRule="auto"/>
        <w:ind w:left="140" w:right="116"/>
        <w:jc w:val="both"/>
      </w:pPr>
      <w:r w:rsidRPr="004E35C0">
        <w:t>Ja jums nepieciešama informācija, kā saņemt palīdzību no citas dalībvalsts noteiktā lietā, jūs varat vērsties pie kontaktpunktiem jūsu dalībvalstī vai izmantot attiecīgās ETST tīmekļa vietnes sadaļas:</w:t>
      </w:r>
    </w:p>
    <w:p w:rsidR="002D5131" w:rsidRPr="00D44732" w:rsidRDefault="00D64C8A">
      <w:pPr>
        <w:pStyle w:val="ListParagraph"/>
        <w:numPr>
          <w:ilvl w:val="0"/>
          <w:numId w:val="1"/>
        </w:numPr>
        <w:tabs>
          <w:tab w:val="left" w:pos="861"/>
        </w:tabs>
        <w:spacing w:before="202" w:line="276" w:lineRule="auto"/>
        <w:ind w:right="116" w:hanging="359"/>
        <w:rPr>
          <w:i/>
        </w:rPr>
      </w:pPr>
      <w:r>
        <w:rPr>
          <w:i/>
        </w:rPr>
        <w:t>izveidojot</w:t>
      </w:r>
      <w:r w:rsidRPr="004E35C0">
        <w:rPr>
          <w:i/>
        </w:rPr>
        <w:t xml:space="preserve"> </w:t>
      </w:r>
      <w:r w:rsidR="00AB19B5" w:rsidRPr="004E35C0">
        <w:rPr>
          <w:i/>
        </w:rPr>
        <w:t>tiesiskās sadarbības lūgumu</w:t>
      </w:r>
      <w:r w:rsidR="00CD1AF6" w:rsidRPr="004F44B6">
        <w:rPr>
          <w:rStyle w:val="FootnoteReference"/>
          <w:i/>
        </w:rPr>
        <w:footnoteReference w:id="1"/>
      </w:r>
      <w:r w:rsidR="00AB19B5" w:rsidRPr="004E35C0">
        <w:rPr>
          <w:i/>
          <w:sz w:val="14"/>
        </w:rPr>
        <w:t xml:space="preserve"> </w:t>
      </w:r>
      <w:r w:rsidR="00AB19B5" w:rsidRPr="004E35C0">
        <w:rPr>
          <w:i/>
        </w:rPr>
        <w:t xml:space="preserve">(Eiropas izmeklēšanas </w:t>
      </w:r>
      <w:r w:rsidRPr="00D64C8A">
        <w:rPr>
          <w:i/>
        </w:rPr>
        <w:t xml:space="preserve">rīkojumu </w:t>
      </w:r>
      <w:r w:rsidR="00AB19B5" w:rsidRPr="004E35C0">
        <w:rPr>
          <w:i/>
        </w:rPr>
        <w:t>(EI</w:t>
      </w:r>
      <w:r>
        <w:rPr>
          <w:i/>
        </w:rPr>
        <w:t>R</w:t>
      </w:r>
      <w:r w:rsidR="00AB19B5" w:rsidRPr="004E35C0">
        <w:rPr>
          <w:i/>
        </w:rPr>
        <w:t xml:space="preserve">) vai starptautiskās tiesiskās palīdzības lūgumu, Eiropas </w:t>
      </w:r>
      <w:r w:rsidRPr="00D64C8A">
        <w:rPr>
          <w:i/>
        </w:rPr>
        <w:t xml:space="preserve">apcietināšanas </w:t>
      </w:r>
      <w:r w:rsidR="00AB19B5" w:rsidRPr="00D44732">
        <w:rPr>
          <w:i/>
        </w:rPr>
        <w:t xml:space="preserve">orderi, līdzekļu iesaldēšanas </w:t>
      </w:r>
      <w:r w:rsidRPr="00D64C8A">
        <w:rPr>
          <w:i/>
        </w:rPr>
        <w:t>rīkojumu</w:t>
      </w:r>
      <w:r>
        <w:rPr>
          <w:i/>
        </w:rPr>
        <w:t xml:space="preserve"> </w:t>
      </w:r>
      <w:r w:rsidR="00AB19B5" w:rsidRPr="004E35C0">
        <w:rPr>
          <w:i/>
        </w:rPr>
        <w:t>utt.):</w:t>
      </w:r>
    </w:p>
    <w:p w:rsidR="002D5131" w:rsidRPr="00D44732" w:rsidRDefault="00AB19B5">
      <w:pPr>
        <w:pStyle w:val="ListParagraph"/>
        <w:numPr>
          <w:ilvl w:val="1"/>
          <w:numId w:val="1"/>
        </w:numPr>
        <w:tabs>
          <w:tab w:val="left" w:pos="995"/>
        </w:tabs>
        <w:spacing w:line="276" w:lineRule="auto"/>
        <w:ind w:right="112" w:firstLine="0"/>
      </w:pPr>
      <w:r w:rsidRPr="00D44732">
        <w:t xml:space="preserve">lai identificētu kompetento izpildes iestādi, lai jūs varētu sākt saziņu un nosūtīt lūgumu tieši šai iestādei. Tiesiskās sadarbības </w:t>
      </w:r>
      <w:r w:rsidR="00D64C8A">
        <w:t>atlants</w:t>
      </w:r>
      <w:r w:rsidR="00D64C8A" w:rsidRPr="004E35C0">
        <w:t xml:space="preserve"> </w:t>
      </w:r>
      <w:r w:rsidRPr="004E35C0">
        <w:t>ETST tīmekļa vietnē ir rīks, ko varat izmantot, lai identificētu kompeten</w:t>
      </w:r>
      <w:r w:rsidRPr="00D44732">
        <w:t>to izpildes iestādi un iegūtu adresi, e-pasta adresi un tālruņa/faksa numuru;</w:t>
      </w:r>
    </w:p>
    <w:p w:rsidR="002D5131" w:rsidRDefault="00AB19B5" w:rsidP="004F44B6">
      <w:pPr>
        <w:pStyle w:val="ListParagraph"/>
        <w:numPr>
          <w:ilvl w:val="1"/>
          <w:numId w:val="1"/>
        </w:numPr>
        <w:tabs>
          <w:tab w:val="left" w:pos="992"/>
        </w:tabs>
        <w:spacing w:before="120" w:line="276" w:lineRule="auto"/>
        <w:ind w:left="856" w:right="115" w:firstLine="0"/>
      </w:pPr>
      <w:r w:rsidRPr="00D44732">
        <w:t>lai iegūtu detalizētāku informāciju par</w:t>
      </w:r>
      <w:r w:rsidR="003A5BA2">
        <w:t xml:space="preserve"> attiecīgajā dalībvalstī ar likumu noteiktajām</w:t>
      </w:r>
      <w:r w:rsidRPr="004E35C0">
        <w:t xml:space="preserve"> tiesiskajām prasībām</w:t>
      </w:r>
      <w:r w:rsidRPr="00D44732">
        <w:t xml:space="preserve">, vai lai apspriestu lūguma izpildes formalitātes. </w:t>
      </w:r>
      <w:proofErr w:type="spellStart"/>
      <w:r w:rsidRPr="00D44732">
        <w:rPr>
          <w:i/>
          <w:iCs/>
        </w:rPr>
        <w:t>Fiches</w:t>
      </w:r>
      <w:proofErr w:type="spellEnd"/>
      <w:r w:rsidRPr="00D44732">
        <w:rPr>
          <w:i/>
          <w:iCs/>
        </w:rPr>
        <w:t xml:space="preserve"> </w:t>
      </w:r>
      <w:proofErr w:type="spellStart"/>
      <w:r w:rsidRPr="00D44732">
        <w:rPr>
          <w:i/>
          <w:iCs/>
        </w:rPr>
        <w:t>belges</w:t>
      </w:r>
      <w:proofErr w:type="spellEnd"/>
      <w:r w:rsidRPr="00D44732">
        <w:t xml:space="preserve"> rīks ETST tīmekļa vietnē ietver īsu tiesisku un praktisku informāciju par visiem būtiskākajiem tiesiskās sadarbības instrumentiem. Kompendijs (</w:t>
      </w:r>
      <w:proofErr w:type="spellStart"/>
      <w:r w:rsidRPr="00D44732">
        <w:rPr>
          <w:i/>
          <w:iCs/>
        </w:rPr>
        <w:t>Compendium</w:t>
      </w:r>
      <w:proofErr w:type="spellEnd"/>
      <w:r w:rsidRPr="00D44732">
        <w:t>) ir rīks, kas piedāvā iespēju izveidot elektronisku lūgumu; un</w:t>
      </w:r>
    </w:p>
    <w:p w:rsidR="002D5131" w:rsidRPr="00D44732" w:rsidRDefault="00AB19B5" w:rsidP="004F44B6">
      <w:pPr>
        <w:pStyle w:val="ListParagraph"/>
        <w:numPr>
          <w:ilvl w:val="1"/>
          <w:numId w:val="1"/>
        </w:numPr>
        <w:tabs>
          <w:tab w:val="left" w:pos="1004"/>
        </w:tabs>
        <w:spacing w:before="120" w:line="276" w:lineRule="auto"/>
        <w:ind w:left="856" w:right="116" w:hanging="144"/>
      </w:pPr>
      <w:r w:rsidRPr="00D44732">
        <w:t xml:space="preserve">lai iegūtu tiesisku un praktisku informāciju par ES tiesisko instrumentu, ko vēlaties izmantot, piemēram, cik lielā mērā instruments ir ieviests dalībvalstīs (ieviešanas statuss), deklarācijas, paziņojumi, rokasgrāmatas, ziņojumi utt. Tiesu bibliotēka ETST tīmekļa vietnē piedāvā sadaļu par katru tiesisko instrumentu, kas ietver </w:t>
      </w:r>
      <w:r w:rsidR="004F1266">
        <w:t>minēto</w:t>
      </w:r>
      <w:r w:rsidR="004F1266" w:rsidRPr="00D44732">
        <w:t xml:space="preserve"> </w:t>
      </w:r>
      <w:r w:rsidRPr="00D44732">
        <w:t>informāciju;</w:t>
      </w:r>
    </w:p>
    <w:p w:rsidR="002D5131" w:rsidRPr="00D44732" w:rsidRDefault="00AB19B5">
      <w:pPr>
        <w:pStyle w:val="ListParagraph"/>
        <w:numPr>
          <w:ilvl w:val="0"/>
          <w:numId w:val="1"/>
        </w:numPr>
        <w:tabs>
          <w:tab w:val="left" w:pos="860"/>
        </w:tabs>
        <w:spacing w:before="201" w:line="273" w:lineRule="auto"/>
        <w:ind w:right="117" w:hanging="360"/>
      </w:pPr>
      <w:r w:rsidRPr="00D44732">
        <w:rPr>
          <w:i/>
          <w:iCs/>
        </w:rPr>
        <w:t>tiesiskās sadarbības lūguma izpildes posmā</w:t>
      </w:r>
      <w:r w:rsidRPr="00D44732">
        <w:t xml:space="preserve"> iespējama papildu informācijas apmaiņa atbilstošai lūguma izpildei;</w:t>
      </w:r>
    </w:p>
    <w:p w:rsidR="002D5131" w:rsidRPr="00D44732" w:rsidRDefault="00AB19B5">
      <w:pPr>
        <w:pStyle w:val="ListParagraph"/>
        <w:numPr>
          <w:ilvl w:val="0"/>
          <w:numId w:val="1"/>
        </w:numPr>
        <w:tabs>
          <w:tab w:val="left" w:pos="860"/>
        </w:tabs>
        <w:spacing w:before="204" w:line="276" w:lineRule="auto"/>
        <w:ind w:right="113" w:hanging="360"/>
      </w:pPr>
      <w:r w:rsidRPr="004F44B6">
        <w:rPr>
          <w:i/>
        </w:rPr>
        <w:t>kavējumu gadījumā vai tiesiskās sadarbības lūguma neizpildes gadījumā</w:t>
      </w:r>
      <w:r w:rsidRPr="004E35C0">
        <w:t xml:space="preserve"> tiek pārbaudīts </w:t>
      </w:r>
      <w:r w:rsidRPr="00D44732">
        <w:t>izpildes statuss attiecīgajā dalībvalstī un/vai tiek paātrināta izpilde, iejaucoties ETST kontaktpunktam; un</w:t>
      </w:r>
    </w:p>
    <w:p w:rsidR="002D5131" w:rsidRPr="00D44732" w:rsidRDefault="00AB19B5">
      <w:pPr>
        <w:pStyle w:val="ListParagraph"/>
        <w:numPr>
          <w:ilvl w:val="0"/>
          <w:numId w:val="1"/>
        </w:numPr>
        <w:tabs>
          <w:tab w:val="left" w:pos="861"/>
        </w:tabs>
        <w:spacing w:line="276" w:lineRule="auto"/>
        <w:ind w:left="860" w:right="116"/>
      </w:pPr>
      <w:r w:rsidRPr="00D44732">
        <w:rPr>
          <w:i/>
          <w:iCs/>
        </w:rPr>
        <w:t>ja jūs steidzami pieprasāt iesniegt informāciju par tiesiskās sadarbības lūgumu ar ļoti īsu iesniegšanas termiņu.</w:t>
      </w:r>
    </w:p>
    <w:p w:rsidR="00CD1AF6" w:rsidRPr="00D44732" w:rsidRDefault="00CD1AF6">
      <w:pPr>
        <w:jc w:val="both"/>
        <w:rPr>
          <w:sz w:val="18"/>
        </w:rPr>
      </w:pPr>
      <w:bookmarkStart w:id="1" w:name="_bookmark0"/>
      <w:bookmarkEnd w:id="1"/>
    </w:p>
    <w:p w:rsidR="002D5131" w:rsidRPr="0033390D" w:rsidRDefault="00AB19B5">
      <w:pPr>
        <w:pStyle w:val="Heading4"/>
        <w:numPr>
          <w:ilvl w:val="1"/>
          <w:numId w:val="2"/>
        </w:numPr>
        <w:tabs>
          <w:tab w:val="left" w:pos="860"/>
          <w:tab w:val="left" w:pos="861"/>
        </w:tabs>
        <w:spacing w:before="89"/>
        <w:ind w:hanging="360"/>
      </w:pPr>
      <w:r w:rsidRPr="0033390D">
        <w:t>Informācijas apmaiņas veicināšana starp tiesu iestādēm</w:t>
      </w:r>
    </w:p>
    <w:p w:rsidR="002D5131" w:rsidRPr="004F44B6" w:rsidRDefault="002D5131">
      <w:pPr>
        <w:pStyle w:val="BodyText"/>
        <w:spacing w:before="4"/>
        <w:rPr>
          <w:b/>
          <w:i/>
          <w:sz w:val="20"/>
        </w:rPr>
      </w:pPr>
    </w:p>
    <w:p w:rsidR="002D5131" w:rsidRPr="00D44732" w:rsidRDefault="00AB19B5">
      <w:pPr>
        <w:pStyle w:val="BodyText"/>
        <w:spacing w:line="276" w:lineRule="auto"/>
        <w:ind w:left="140" w:right="114"/>
        <w:jc w:val="both"/>
      </w:pPr>
      <w:r w:rsidRPr="004E35C0">
        <w:t xml:space="preserve">Kā aktīvi prokurori un tiesneši ETST kontaktpunkti bieži var ātri un neformālā veidā </w:t>
      </w:r>
      <w:r w:rsidR="006430DA">
        <w:t>dalīties ar</w:t>
      </w:r>
      <w:r w:rsidR="006430DA" w:rsidRPr="004E35C0">
        <w:t xml:space="preserve"> </w:t>
      </w:r>
      <w:r w:rsidRPr="004E35C0">
        <w:t>informāciju par notiekošām izmeklēšanām vai procesiem un to rezultātiem, apcietinātām personām, apcietinājuma ilgumiem un tiesu lēmumiem at</w:t>
      </w:r>
      <w:r w:rsidRPr="00D44732">
        <w:t xml:space="preserve">sevišķās lietās. Šāda veida </w:t>
      </w:r>
      <w:r w:rsidRPr="00D44732">
        <w:lastRenderedPageBreak/>
        <w:t>informācijas apmaiņas gadījumā bieži nav nepieciešams nosūtīt formālu lūgumu.</w:t>
      </w:r>
    </w:p>
    <w:p w:rsidR="002D5131" w:rsidRPr="00D44732" w:rsidRDefault="00AB19B5">
      <w:pPr>
        <w:pStyle w:val="BodyText"/>
        <w:spacing w:before="201" w:line="276" w:lineRule="auto"/>
        <w:ind w:left="140" w:right="111"/>
        <w:jc w:val="both"/>
      </w:pPr>
      <w:r w:rsidRPr="00D44732">
        <w:t>Ja jums nepieciešama šāda informācija jūsu izmeklēšanas vai procesa ietvaros, īpaši steidzamos gadījumos, un jūsu</w:t>
      </w:r>
      <w:r w:rsidR="006430DA">
        <w:t xml:space="preserve"> valsts</w:t>
      </w:r>
      <w:r w:rsidRPr="004E35C0">
        <w:t xml:space="preserve"> tiesību akti pieļauj šāda pieprasījuma iesniegšanu, sazinieties ar ETST kontaktpunktu, norādiet, kāpēc jums šī informācija nepieciešama un sniedziet īsu jūsu izmeklēšanas vai procesa aprakstu. Informējiet ETST kontaktpunktu, ka jūs sazināties ar </w:t>
      </w:r>
      <w:r w:rsidR="006430DA">
        <w:t>to</w:t>
      </w:r>
      <w:r w:rsidR="006430DA" w:rsidRPr="004E35C0">
        <w:t xml:space="preserve"> </w:t>
      </w:r>
      <w:r w:rsidRPr="00D44732">
        <w:t>kā ETST kontaktpunktu.</w:t>
      </w:r>
    </w:p>
    <w:p w:rsidR="002D5131" w:rsidRPr="00D44732" w:rsidRDefault="00AB19B5">
      <w:pPr>
        <w:pStyle w:val="Heading2"/>
        <w:numPr>
          <w:ilvl w:val="0"/>
          <w:numId w:val="2"/>
        </w:numPr>
        <w:tabs>
          <w:tab w:val="left" w:pos="860"/>
        </w:tabs>
        <w:spacing w:before="189"/>
        <w:ind w:hanging="719"/>
        <w:jc w:val="both"/>
      </w:pPr>
      <w:r w:rsidRPr="00D44732">
        <w:t>Kas ir Eurojust?</w:t>
      </w:r>
    </w:p>
    <w:p w:rsidR="006430DA" w:rsidRDefault="00AB19B5">
      <w:pPr>
        <w:pStyle w:val="BodyText"/>
        <w:spacing w:before="259" w:line="276" w:lineRule="auto"/>
        <w:ind w:left="139" w:right="114"/>
        <w:jc w:val="both"/>
      </w:pPr>
      <w:r w:rsidRPr="00D44732">
        <w:t>Eurojust ir Eiropas Savienības 2002. gadā dibināta tiesiskās sadarbības organizācija, kuras mērķi</w:t>
      </w:r>
      <w:r w:rsidR="006430DA">
        <w:t>s</w:t>
      </w:r>
      <w:r w:rsidRPr="004E35C0">
        <w:t xml:space="preserve"> ir </w:t>
      </w:r>
      <w:r w:rsidR="006430DA">
        <w:t>atbalstīt</w:t>
      </w:r>
      <w:r w:rsidRPr="004E35C0">
        <w:t xml:space="preserve"> un stiprināt koordināciju un sadarbību starp </w:t>
      </w:r>
      <w:r w:rsidR="006430DA">
        <w:t xml:space="preserve">tām </w:t>
      </w:r>
      <w:r w:rsidR="001366A5">
        <w:t>nacionālajām</w:t>
      </w:r>
      <w:r w:rsidR="006430DA">
        <w:t xml:space="preserve"> iestādēm, kas veic izmeklēšanu un kriminālvajāšan</w:t>
      </w:r>
      <w:r w:rsidR="001366A5">
        <w:t xml:space="preserve">u </w:t>
      </w:r>
      <w:r w:rsidR="006430DA">
        <w:t>smag</w:t>
      </w:r>
      <w:r w:rsidR="001366A5">
        <w:t>u</w:t>
      </w:r>
      <w:r w:rsidRPr="004E35C0">
        <w:t xml:space="preserve"> pārrobežu noziegum</w:t>
      </w:r>
      <w:r w:rsidR="001366A5">
        <w:t>u jomā</w:t>
      </w:r>
      <w:r w:rsidRPr="004E35C0">
        <w:t>, īpaši organizētās nozi</w:t>
      </w:r>
      <w:r w:rsidRPr="00D44732">
        <w:t xml:space="preserve">edzības lietās, piemēram, </w:t>
      </w:r>
      <w:proofErr w:type="spellStart"/>
      <w:r w:rsidRPr="00D44732">
        <w:t>krāpniecības</w:t>
      </w:r>
      <w:proofErr w:type="spellEnd"/>
      <w:r w:rsidRPr="00D44732">
        <w:t>, narkotiku tirdzniecības, organizēto nodarījumu pret īpašumu, cilvēku tirdzniecības un terorisma lietās.</w:t>
      </w:r>
    </w:p>
    <w:p w:rsidR="002D5131" w:rsidRPr="00D44732" w:rsidRDefault="00AB19B5">
      <w:pPr>
        <w:pStyle w:val="BodyText"/>
        <w:spacing w:before="201" w:line="276" w:lineRule="auto"/>
        <w:ind w:left="139" w:right="115"/>
        <w:jc w:val="both"/>
      </w:pPr>
      <w:r w:rsidRPr="00D44732">
        <w:t xml:space="preserve">Eurojust atrodas Hāgā. Organizācija sastāv galvenokārt no prokuroriem no katras dalībvalsts, kas organizēti </w:t>
      </w:r>
      <w:r w:rsidR="00DF5E35" w:rsidRPr="007E68CF">
        <w:t>„</w:t>
      </w:r>
      <w:r w:rsidR="00E40C19">
        <w:t>v</w:t>
      </w:r>
      <w:r w:rsidRPr="004E35C0">
        <w:t>al</w:t>
      </w:r>
      <w:r w:rsidRPr="00D44732">
        <w:t>sts nodaļās</w:t>
      </w:r>
      <w:r w:rsidR="00DF5E35" w:rsidRPr="00DF5E35">
        <w:t>“</w:t>
      </w:r>
      <w:r w:rsidRPr="00D44732">
        <w:t xml:space="preserve"> un ko atbalsta administratīvie darbinieki. Tāpat Eurojust sadarbojas ar prokuroriem no Norvēģijas, ASV, Šveices un Melnkalnes.</w:t>
      </w:r>
    </w:p>
    <w:p w:rsidR="002D5131" w:rsidRPr="004E35C0" w:rsidRDefault="00AB19B5">
      <w:pPr>
        <w:pStyle w:val="BodyText"/>
        <w:spacing w:before="200" w:line="276" w:lineRule="auto"/>
        <w:ind w:left="139" w:right="76"/>
      </w:pPr>
      <w:r w:rsidRPr="00D44732">
        <w:t xml:space="preserve">Eurojust </w:t>
      </w:r>
      <w:r w:rsidR="00275C9D">
        <w:t xml:space="preserve">nodrošina funkcionālu </w:t>
      </w:r>
      <w:r w:rsidRPr="00D44732">
        <w:t>atbalst</w:t>
      </w:r>
      <w:r w:rsidR="00275C9D">
        <w:t>u</w:t>
      </w:r>
      <w:r w:rsidRPr="00D44732">
        <w:t xml:space="preserve"> izmeklēšanas un </w:t>
      </w:r>
      <w:r w:rsidR="00275C9D" w:rsidRPr="00275C9D">
        <w:t>kriminālvajāšan</w:t>
      </w:r>
      <w:r w:rsidR="00275C9D">
        <w:t xml:space="preserve">as </w:t>
      </w:r>
      <w:r w:rsidRPr="00D44732">
        <w:t>iestād</w:t>
      </w:r>
      <w:r w:rsidR="00275C9D">
        <w:t>ēm</w:t>
      </w:r>
      <w:r w:rsidRPr="00D44732">
        <w:t xml:space="preserve"> lietu izskatīšanā (piemēram, organizējot koordinācijas sanāksmes un/vai koordinācijas centrus) un, daloties pieredzē un zināšanās, kas gūtas lietās, kurās Eurojust sniedzis atbalstu (piemēram, </w:t>
      </w:r>
      <w:r w:rsidRPr="00D44732">
        <w:rPr>
          <w:i/>
          <w:iCs/>
        </w:rPr>
        <w:t>Vadlīnijas, lai pieņemtu lēmumu, kurā jurisdikcijā lieta jāizskata</w:t>
      </w:r>
      <w:r w:rsidRPr="00D44732">
        <w:t xml:space="preserve"> </w:t>
      </w:r>
      <w:hyperlink r:id="rId23">
        <w:r w:rsidRPr="004E35C0">
          <w:rPr>
            <w:color w:val="0000FF"/>
            <w:u w:val="single" w:color="0000FF"/>
          </w:rPr>
          <w:t>http://www.eurojust.europa.eu/Practitioners/operational/Pages/Guidelines-on-</w:t>
        </w:r>
      </w:hyperlink>
      <w:hyperlink r:id="rId24">
        <w:r w:rsidRPr="004E35C0">
          <w:rPr>
            <w:color w:val="0000FF"/>
            <w:u w:val="single" w:color="0000FF"/>
          </w:rPr>
          <w:t>jurisdiction.aspx</w:t>
        </w:r>
        <w:r w:rsidRPr="00D44732">
          <w:t xml:space="preserve"> </w:t>
        </w:r>
      </w:hyperlink>
      <w:r w:rsidRPr="004E35C0">
        <w:t xml:space="preserve">un ziņojums par </w:t>
      </w:r>
      <w:r w:rsidRPr="004E35C0">
        <w:rPr>
          <w:i/>
        </w:rPr>
        <w:t xml:space="preserve">Cilvēku tirdzniecības, kas veikta </w:t>
      </w:r>
      <w:r w:rsidR="00275C9D" w:rsidRPr="00275C9D">
        <w:rPr>
          <w:i/>
        </w:rPr>
        <w:t>darbaspēka ekspluatācijas mērķiem</w:t>
      </w:r>
      <w:r w:rsidRPr="004E35C0">
        <w:rPr>
          <w:i/>
        </w:rPr>
        <w:t xml:space="preserve">, lietu izskatīšana </w:t>
      </w:r>
      <w:hyperlink r:id="rId25">
        <w:r w:rsidRPr="004E35C0">
          <w:rPr>
            <w:color w:val="0000FF"/>
            <w:u w:val="single" w:color="0000FF"/>
          </w:rPr>
          <w:t>http://www.eurojust.europa.eu/doclibrary/Eurojust-</w:t>
        </w:r>
      </w:hyperlink>
      <w:hyperlink r:id="rId26">
        <w:r w:rsidRPr="004E35C0">
          <w:rPr>
            <w:color w:val="0000FF"/>
            <w:u w:val="single" w:color="0000FF"/>
          </w:rPr>
          <w:t>framework/Casework/Report%20on%20prosecuting%20THB%20for%20the%20purpose%20</w:t>
        </w:r>
      </w:hyperlink>
      <w:hyperlink r:id="rId27">
        <w:r w:rsidRPr="004E35C0">
          <w:rPr>
            <w:color w:val="0000FF"/>
            <w:u w:val="single" w:color="0000FF"/>
          </w:rPr>
          <w:t>of%20labour%20exploitation%20%28Dec.%202015%29/2015-12_Report-on-prosecuting-</w:t>
        </w:r>
      </w:hyperlink>
      <w:hyperlink r:id="rId28">
        <w:r w:rsidRPr="004E35C0">
          <w:rPr>
            <w:color w:val="0000FF"/>
            <w:u w:val="single" w:color="0000FF"/>
          </w:rPr>
          <w:t>THB-labour-exploitation_EN.pdf</w:t>
        </w:r>
        <w:r w:rsidRPr="00D44732">
          <w:t>.</w:t>
        </w:r>
      </w:hyperlink>
    </w:p>
    <w:p w:rsidR="002D5131" w:rsidRPr="00D44732" w:rsidRDefault="002D5131">
      <w:pPr>
        <w:pStyle w:val="BodyText"/>
        <w:spacing w:before="9"/>
        <w:rPr>
          <w:sz w:val="29"/>
        </w:rPr>
      </w:pPr>
    </w:p>
    <w:p w:rsidR="002D5131" w:rsidRPr="00D44732" w:rsidRDefault="00AB19B5">
      <w:pPr>
        <w:pStyle w:val="Heading3"/>
        <w:spacing w:before="100"/>
      </w:pPr>
      <w:r w:rsidRPr="00D44732">
        <w:t>Kā Eurojust var jums palīdzēt?</w:t>
      </w:r>
    </w:p>
    <w:p w:rsidR="002D5131" w:rsidRPr="004F44B6" w:rsidRDefault="002D5131">
      <w:pPr>
        <w:pStyle w:val="BodyText"/>
        <w:spacing w:before="7"/>
        <w:rPr>
          <w:rFonts w:ascii="Trebuchet MS"/>
          <w:b/>
          <w:sz w:val="21"/>
        </w:rPr>
      </w:pPr>
    </w:p>
    <w:p w:rsidR="002D5131" w:rsidRPr="004E35C0" w:rsidRDefault="00AB19B5">
      <w:pPr>
        <w:pStyle w:val="BodyText"/>
        <w:spacing w:line="276" w:lineRule="auto"/>
        <w:ind w:left="139" w:right="339"/>
      </w:pPr>
      <w:r w:rsidRPr="004E35C0">
        <w:t xml:space="preserve">Ja jums nepieciešama Eurojust palīdzība, jums jāsazinās ar </w:t>
      </w:r>
      <w:r w:rsidR="00A23FB7">
        <w:t>savas</w:t>
      </w:r>
      <w:r w:rsidR="00E40C19">
        <w:t xml:space="preserve"> v</w:t>
      </w:r>
      <w:r w:rsidRPr="004E35C0">
        <w:t>alsts nodaļ</w:t>
      </w:r>
      <w:r w:rsidRPr="00D44732">
        <w:t>u</w:t>
      </w:r>
      <w:r w:rsidR="00A23FB7" w:rsidRPr="00A23FB7">
        <w:t xml:space="preserve"> </w:t>
      </w:r>
      <w:r w:rsidR="00A23FB7" w:rsidRPr="009D0ABA">
        <w:t>Eurojust</w:t>
      </w:r>
      <w:r w:rsidRPr="004E35C0">
        <w:t xml:space="preserve">. Lūdzu, </w:t>
      </w:r>
      <w:r w:rsidR="00E40C19">
        <w:t>aplūkojiet</w:t>
      </w:r>
      <w:r w:rsidRPr="004E35C0">
        <w:t xml:space="preserve"> Eurojust tīmekļa vietni, lai uzzinātu vairāk: </w:t>
      </w:r>
      <w:hyperlink r:id="rId29">
        <w:r w:rsidRPr="004E35C0">
          <w:rPr>
            <w:color w:val="0000FF"/>
            <w:u w:val="single" w:color="0000FF"/>
          </w:rPr>
          <w:t>http:/</w:t>
        </w:r>
        <w:r w:rsidRPr="00D44732">
          <w:rPr>
            <w:color w:val="0000FF"/>
            <w:u w:val="single" w:color="0000FF"/>
          </w:rPr>
          <w:t>/eurojust.europa.eu/Practitioners/Pages/contact-info-for-practitioners.aspx</w:t>
        </w:r>
      </w:hyperlink>
    </w:p>
    <w:p w:rsidR="002D5131" w:rsidRPr="00D44732" w:rsidRDefault="00AB19B5">
      <w:pPr>
        <w:pStyle w:val="BodyText"/>
        <w:spacing w:before="200"/>
        <w:ind w:left="140"/>
      </w:pPr>
      <w:r w:rsidRPr="00D44732">
        <w:t>Eurojust palīdzība jāizmanto šādos gadījumos:</w:t>
      </w:r>
    </w:p>
    <w:p w:rsidR="002D5131" w:rsidRPr="004F44B6" w:rsidRDefault="002D5131">
      <w:pPr>
        <w:pStyle w:val="BodyText"/>
        <w:spacing w:before="4"/>
        <w:rPr>
          <w:sz w:val="20"/>
        </w:rPr>
      </w:pPr>
    </w:p>
    <w:p w:rsidR="002D5131" w:rsidRPr="004E35C0" w:rsidRDefault="00AB19B5">
      <w:pPr>
        <w:pStyle w:val="Heading4"/>
        <w:numPr>
          <w:ilvl w:val="1"/>
          <w:numId w:val="2"/>
        </w:numPr>
        <w:tabs>
          <w:tab w:val="left" w:pos="905"/>
          <w:tab w:val="left" w:pos="906"/>
        </w:tabs>
        <w:ind w:left="905" w:hanging="360"/>
      </w:pPr>
      <w:r w:rsidRPr="004E35C0">
        <w:t>Izmeklēšan</w:t>
      </w:r>
      <w:r w:rsidR="00204DB0">
        <w:t>as</w:t>
      </w:r>
      <w:r w:rsidRPr="004E35C0">
        <w:t xml:space="preserve"> vai lietas ierosināšanas koordinācija</w:t>
      </w:r>
    </w:p>
    <w:p w:rsidR="002D5131" w:rsidRPr="004F44B6" w:rsidRDefault="002D5131">
      <w:pPr>
        <w:pStyle w:val="BodyText"/>
        <w:spacing w:before="5"/>
        <w:rPr>
          <w:b/>
          <w:i/>
          <w:sz w:val="20"/>
        </w:rPr>
      </w:pPr>
    </w:p>
    <w:p w:rsidR="002D5131" w:rsidRPr="00D44732" w:rsidRDefault="00AB19B5">
      <w:pPr>
        <w:pStyle w:val="BodyText"/>
        <w:spacing w:line="276" w:lineRule="auto"/>
        <w:ind w:left="139" w:right="113"/>
        <w:jc w:val="both"/>
      </w:pPr>
      <w:r w:rsidRPr="004E35C0">
        <w:t xml:space="preserve">Eurojust var palīdzēt nodrošināt </w:t>
      </w:r>
      <w:r w:rsidR="00204DB0">
        <w:t>ar konkrētu lietu saistītas</w:t>
      </w:r>
      <w:r w:rsidR="00204DB0" w:rsidRPr="004E35C0">
        <w:t xml:space="preserve"> </w:t>
      </w:r>
      <w:r w:rsidRPr="004E35C0">
        <w:t xml:space="preserve">informācijas apmaiņu, </w:t>
      </w:r>
      <w:r w:rsidR="00E40C19">
        <w:t>ja</w:t>
      </w:r>
      <w:r w:rsidR="00E40C19" w:rsidRPr="004E35C0">
        <w:t xml:space="preserve"> </w:t>
      </w:r>
      <w:r w:rsidRPr="00D44732">
        <w:t>izmeklēšan</w:t>
      </w:r>
      <w:r w:rsidR="00E40C19">
        <w:t xml:space="preserve">as </w:t>
      </w:r>
      <w:r w:rsidR="00204DB0">
        <w:t xml:space="preserve">darbības </w:t>
      </w:r>
      <w:r w:rsidR="00E40C19">
        <w:t>nepieciešams koordinēt</w:t>
      </w:r>
      <w:r w:rsidRPr="004E35C0">
        <w:t xml:space="preserve"> divās vai vairākās dalībvalstīs. Tāpat Eurojust palīdz noteikt, vai dalībvalstīm jāturpina atsevišķa izmeklēšana vai tām jāveic izmeklēšana un procedūras galvenokārt vienā vai vairākās dalībvalstīs.</w:t>
      </w:r>
    </w:p>
    <w:p w:rsidR="002D5131" w:rsidRPr="00D44732" w:rsidRDefault="00AB19B5">
      <w:pPr>
        <w:pStyle w:val="BodyText"/>
        <w:spacing w:before="89" w:line="276" w:lineRule="auto"/>
        <w:ind w:left="140" w:right="114"/>
        <w:jc w:val="both"/>
      </w:pPr>
      <w:r w:rsidRPr="00D44732">
        <w:t>Tāpat Eurojust sniedz atbalstu pārrunās un vienošan</w:t>
      </w:r>
      <w:r w:rsidR="00204DB0">
        <w:t>o</w:t>
      </w:r>
      <w:r w:rsidRPr="00D44732">
        <w:t xml:space="preserve">s starp iesaistītajām nacionālajām iestādēm </w:t>
      </w:r>
      <w:r w:rsidR="00204DB0" w:rsidRPr="00D44732">
        <w:t xml:space="preserve">noslēgšanā </w:t>
      </w:r>
      <w:r w:rsidRPr="00D44732">
        <w:t>par to, kā, kad un kur veikt vienotu rīcību vai ierosināt lietu.</w:t>
      </w:r>
    </w:p>
    <w:p w:rsidR="002D5131" w:rsidRPr="00D44732" w:rsidRDefault="00AB19B5">
      <w:pPr>
        <w:pStyle w:val="Heading4"/>
        <w:numPr>
          <w:ilvl w:val="1"/>
          <w:numId w:val="2"/>
        </w:numPr>
        <w:tabs>
          <w:tab w:val="left" w:pos="905"/>
          <w:tab w:val="left" w:pos="906"/>
        </w:tabs>
        <w:spacing w:before="201"/>
        <w:ind w:left="905" w:hanging="360"/>
      </w:pPr>
      <w:r w:rsidRPr="00D44732">
        <w:t>Koordinācijas sanāksmju un centru organizēšana un atbalsts</w:t>
      </w:r>
    </w:p>
    <w:p w:rsidR="002D5131" w:rsidRPr="004F44B6" w:rsidRDefault="002D5131">
      <w:pPr>
        <w:pStyle w:val="BodyText"/>
        <w:spacing w:before="2"/>
        <w:rPr>
          <w:b/>
          <w:i/>
          <w:sz w:val="20"/>
        </w:rPr>
      </w:pPr>
    </w:p>
    <w:p w:rsidR="002D5131" w:rsidRPr="00D44732" w:rsidRDefault="00AB19B5">
      <w:pPr>
        <w:pStyle w:val="BodyText"/>
        <w:spacing w:line="276" w:lineRule="auto"/>
        <w:ind w:left="140" w:right="113"/>
        <w:jc w:val="both"/>
      </w:pPr>
      <w:r w:rsidRPr="004E35C0">
        <w:t xml:space="preserve">Eurojust var organizēt koordinācijas sanāksmes Hāgā, kurās piedalās kompetentās nacionālās </w:t>
      </w:r>
      <w:r w:rsidRPr="004E35C0">
        <w:lastRenderedPageBreak/>
        <w:t>iestādes no dažādām dalībvalstīm un trešajām valstīm. Koordinācijas sanāksmēs dažkārt var piedalīties Eiropola un Eiropas Biroja krāpšanas apkarošanai (OLAF) pārstāvji.</w:t>
      </w:r>
    </w:p>
    <w:p w:rsidR="002D5131" w:rsidRPr="00D44732" w:rsidRDefault="00AB19B5">
      <w:pPr>
        <w:pStyle w:val="BodyText"/>
        <w:spacing w:before="202" w:line="276" w:lineRule="auto"/>
        <w:ind w:left="140" w:right="116"/>
        <w:jc w:val="both"/>
      </w:pPr>
      <w:r w:rsidRPr="00D44732">
        <w:t>Koordinācijas sanāksmju laikā speciālisti var apmainīties ar informāciju par saistītām izmeklēšanām un plānot vienotu rīcību efektīvākā veidā. Ja nepieciešams, Eurojust var nodrošināt sinhrono tulkošanu. Koordinācijas sanāksmes ir lietderīgas, lai novērstu iespējamus jurisdikciju konfliktus vai īstenotu noteiktus pasākumus koordinētā veidā.</w:t>
      </w:r>
    </w:p>
    <w:p w:rsidR="002D5131" w:rsidRPr="00D44732" w:rsidRDefault="00AB19B5">
      <w:pPr>
        <w:pStyle w:val="BodyText"/>
        <w:spacing w:before="199" w:line="276" w:lineRule="auto"/>
        <w:ind w:left="140" w:right="116"/>
        <w:jc w:val="both"/>
      </w:pPr>
      <w:r w:rsidRPr="00D44732">
        <w:t>Eurojust sedz naktsmītn</w:t>
      </w:r>
      <w:r w:rsidR="00A23FB7">
        <w:t>es</w:t>
      </w:r>
      <w:r w:rsidRPr="004E35C0">
        <w:t xml:space="preserve"> Hāgā un ceļošanas izmaksas diviem dalībniekiem no katras iesaistītās valsts.</w:t>
      </w:r>
    </w:p>
    <w:p w:rsidR="002D5131" w:rsidRPr="00D44732" w:rsidRDefault="00AB19B5">
      <w:pPr>
        <w:pStyle w:val="BodyText"/>
        <w:spacing w:before="201" w:line="276" w:lineRule="auto"/>
        <w:ind w:left="139" w:right="111"/>
        <w:jc w:val="both"/>
      </w:pPr>
      <w:r w:rsidRPr="00D44732">
        <w:t xml:space="preserve">Tāpat Eurojust organizē koordinācijas centrus, kuru mērķis ir sniegt atbalstu un koordinēt vienotu rīcību (par kuru valstis bieži vienojas koordinācijas sanāksmēs), kas tiek vienlaikus veikta dažādās dalībvalstīs un trešajās valstīs. Koordinācijas centri nodrošina informācijas nosūtīšanu un koordinēšanu reāllaikā starp kompetentajām iestādēm rīcības veikšanas dienā, piemēram, ja dažādās valstīs jāveic vienlaicīgas dzīvesvietu pārmeklēšanas. Tāpat koordinācijas centri ļauj risināt dažādas problēmas, kas </w:t>
      </w:r>
      <w:r w:rsidR="00A23FB7">
        <w:t>var rasties</w:t>
      </w:r>
      <w:r w:rsidRPr="004E35C0">
        <w:t xml:space="preserve">, īstenojot Eiropas </w:t>
      </w:r>
      <w:r w:rsidR="00A23FB7">
        <w:t>apcietināšanas</w:t>
      </w:r>
      <w:r w:rsidR="00A23FB7" w:rsidRPr="004E35C0">
        <w:t xml:space="preserve"> </w:t>
      </w:r>
      <w:r w:rsidRPr="004E35C0">
        <w:t>orderi, un nodrošina papildu pārmeklēšana</w:t>
      </w:r>
      <w:r w:rsidRPr="00D44732">
        <w:t>s un konfiskāciju.</w:t>
      </w:r>
    </w:p>
    <w:p w:rsidR="002D5131" w:rsidRPr="00D44732" w:rsidRDefault="00AB19B5">
      <w:pPr>
        <w:pStyle w:val="Heading4"/>
        <w:numPr>
          <w:ilvl w:val="1"/>
          <w:numId w:val="2"/>
        </w:numPr>
        <w:tabs>
          <w:tab w:val="left" w:pos="904"/>
          <w:tab w:val="left" w:pos="906"/>
        </w:tabs>
        <w:spacing w:before="199"/>
        <w:ind w:left="905"/>
      </w:pPr>
      <w:r w:rsidRPr="00D44732">
        <w:t>Palīdzība, lai novērstu vai risinātu jurisdikcijas konfliktus</w:t>
      </w:r>
    </w:p>
    <w:p w:rsidR="002D5131" w:rsidRPr="00D44732" w:rsidRDefault="002D5131">
      <w:pPr>
        <w:pStyle w:val="BodyText"/>
        <w:spacing w:before="4"/>
        <w:rPr>
          <w:b/>
          <w:i/>
          <w:sz w:val="20"/>
        </w:rPr>
      </w:pPr>
    </w:p>
    <w:p w:rsidR="002D5131" w:rsidRPr="00D44732" w:rsidRDefault="00A23FB7">
      <w:pPr>
        <w:pStyle w:val="BodyText"/>
        <w:spacing w:line="276" w:lineRule="auto"/>
        <w:ind w:left="139" w:right="116"/>
        <w:jc w:val="both"/>
      </w:pPr>
      <w:r>
        <w:t>Gadījumos, kad</w:t>
      </w:r>
      <w:r w:rsidRPr="004E35C0">
        <w:t xml:space="preserve"> </w:t>
      </w:r>
      <w:r w:rsidR="00AB19B5" w:rsidRPr="004E35C0">
        <w:t>vairāk nekā vienai dalībvalstij ir piekritīga jurisdikcija, Eurojust var novērst vai atrisināt jurisdikcijas konfliktus. Tāpat Eurojust sniedz nesaistošu atzinumu par to,</w:t>
      </w:r>
      <w:r w:rsidR="00AB19B5" w:rsidRPr="00D44732">
        <w:t xml:space="preserve"> kura no dalībvalstīm ir labākā pozīcijā, lai veiktu izmeklēšanu vai ierosinātu lietu.</w:t>
      </w:r>
    </w:p>
    <w:p w:rsidR="002D5131" w:rsidRPr="00D44732" w:rsidRDefault="00AB19B5">
      <w:pPr>
        <w:pStyle w:val="Heading4"/>
        <w:numPr>
          <w:ilvl w:val="1"/>
          <w:numId w:val="2"/>
        </w:numPr>
        <w:tabs>
          <w:tab w:val="left" w:pos="905"/>
          <w:tab w:val="left" w:pos="906"/>
        </w:tabs>
        <w:spacing w:before="200"/>
        <w:ind w:left="905" w:hanging="360"/>
      </w:pPr>
      <w:r w:rsidRPr="00D44732">
        <w:t>Kopīgu izmeklēšanas grupu nodrošināšana un atbalsta sniegšana</w:t>
      </w:r>
    </w:p>
    <w:p w:rsidR="002D5131" w:rsidRPr="00D44732" w:rsidRDefault="002D5131">
      <w:pPr>
        <w:pStyle w:val="BodyText"/>
        <w:spacing w:before="4"/>
        <w:rPr>
          <w:b/>
          <w:i/>
          <w:sz w:val="20"/>
        </w:rPr>
      </w:pPr>
    </w:p>
    <w:p w:rsidR="002D5131" w:rsidRPr="00D44732" w:rsidRDefault="00AB19B5">
      <w:pPr>
        <w:pStyle w:val="BodyText"/>
        <w:spacing w:line="276" w:lineRule="auto"/>
        <w:ind w:left="139" w:right="115"/>
        <w:jc w:val="both"/>
      </w:pPr>
      <w:r w:rsidRPr="00D44732">
        <w:t>Eurojust var palīdzēt un nodrošināt kopīgu izmeklēšanas grupu izveidi, funkcionēšanu un novērtēšanu. Eurojust var identificēt atbilstošas lietas, kurās nepieciešams izveidot kopīgas izmeklēšanas grupas, sniegt noderīgu tiesisku un praktisku informāciju, piemēram, par nacionālajiem tiesību aktiem, praktiskiem šķēršļiem un labākās prakses principiem, kā arī sniegt palīdzību, izstrādājot vienošanās par kopīgu izmeklēšanas grupu un rīcības plānus. Ja tas nepieciešams, Eurojust valstis var piedalīties kopīgajās izmeklēšanas grupās.</w:t>
      </w:r>
    </w:p>
    <w:p w:rsidR="002D5131" w:rsidRPr="00D44732" w:rsidRDefault="00AB19B5">
      <w:pPr>
        <w:pStyle w:val="BodyText"/>
        <w:spacing w:before="202" w:line="276" w:lineRule="auto"/>
        <w:ind w:left="140" w:right="112"/>
        <w:jc w:val="both"/>
      </w:pPr>
      <w:r w:rsidRPr="00D44732">
        <w:t>Eurojust var palīdzēt, sedzot divas izmaksu grupas, kas raksturīgas kopīgajām izmeklēšanas grupām: ceļošanas un naktsmītnes izmaksas, mutiskās un rakstiskās tulkošanas izmaksas. Tāpat Eurojust piedāvā aizņemties aprīkojumu izmantošanai kopīgajās izmeklēšanas grupās, piemēram, mobilos tālruņus (kopā ar radītajām izmaksām) un klēpjdatorus.</w:t>
      </w:r>
    </w:p>
    <w:p w:rsidR="002D5131" w:rsidRPr="004E35C0" w:rsidRDefault="00AB19B5">
      <w:pPr>
        <w:pStyle w:val="BodyText"/>
        <w:spacing w:before="199" w:line="276" w:lineRule="auto"/>
        <w:ind w:left="140" w:right="117"/>
        <w:jc w:val="both"/>
      </w:pPr>
      <w:r w:rsidRPr="00D44732">
        <w:t xml:space="preserve">Lai uzzinātu vairāk, skatīt </w:t>
      </w:r>
      <w:hyperlink r:id="rId30">
        <w:r w:rsidRPr="004E35C0">
          <w:rPr>
            <w:u w:val="single"/>
          </w:rPr>
          <w:t>http://www.eurojust.europa.eu/Practitioners/JITs/Eurojust-</w:t>
        </w:r>
      </w:hyperlink>
      <w:r w:rsidRPr="004E35C0">
        <w:t xml:space="preserve"> </w:t>
      </w:r>
      <w:hyperlink r:id="rId31">
        <w:proofErr w:type="spellStart"/>
        <w:r w:rsidRPr="004E35C0">
          <w:rPr>
            <w:u w:val="single"/>
          </w:rPr>
          <w:t>JITsFunding</w:t>
        </w:r>
        <w:proofErr w:type="spellEnd"/>
        <w:r w:rsidRPr="004E35C0">
          <w:rPr>
            <w:u w:val="single"/>
          </w:rPr>
          <w:t>/</w:t>
        </w:r>
        <w:proofErr w:type="spellStart"/>
        <w:r w:rsidRPr="004E35C0">
          <w:rPr>
            <w:u w:val="single"/>
          </w:rPr>
          <w:t>Pages</w:t>
        </w:r>
        <w:proofErr w:type="spellEnd"/>
        <w:r w:rsidRPr="004E35C0">
          <w:rPr>
            <w:u w:val="single"/>
          </w:rPr>
          <w:t>/Eurojust-JITs-funding.aspx.</w:t>
        </w:r>
      </w:hyperlink>
    </w:p>
    <w:p w:rsidR="002D5131" w:rsidRPr="00D44732" w:rsidRDefault="00A23FB7">
      <w:pPr>
        <w:pStyle w:val="Heading4"/>
        <w:numPr>
          <w:ilvl w:val="1"/>
          <w:numId w:val="2"/>
        </w:numPr>
        <w:tabs>
          <w:tab w:val="left" w:pos="905"/>
          <w:tab w:val="left" w:pos="906"/>
        </w:tabs>
        <w:spacing w:before="200"/>
        <w:ind w:left="905" w:hanging="360"/>
      </w:pPr>
      <w:r>
        <w:t>Trešo valstu t</w:t>
      </w:r>
      <w:r w:rsidR="00AB19B5" w:rsidRPr="004E35C0">
        <w:t xml:space="preserve">iesiskās sadarbības lūgumu </w:t>
      </w:r>
      <w:r w:rsidR="00AB19B5" w:rsidRPr="00D44732">
        <w:t>koordinēšana un nodrošināšana</w:t>
      </w:r>
    </w:p>
    <w:p w:rsidR="002D5131" w:rsidRPr="00D44732" w:rsidRDefault="002D5131">
      <w:pPr>
        <w:pStyle w:val="BodyText"/>
        <w:spacing w:before="4"/>
        <w:rPr>
          <w:b/>
          <w:i/>
          <w:sz w:val="20"/>
        </w:rPr>
      </w:pPr>
    </w:p>
    <w:p w:rsidR="002D5131" w:rsidRPr="00D44732" w:rsidRDefault="00AB19B5">
      <w:pPr>
        <w:pStyle w:val="BodyText"/>
        <w:spacing w:before="1" w:line="276" w:lineRule="auto"/>
        <w:ind w:left="139" w:right="114"/>
        <w:jc w:val="both"/>
      </w:pPr>
      <w:r w:rsidRPr="00D44732">
        <w:t>Ja jums nepieciešama palīdzība, lai sazinātos ar iestādi trešajā valstī, jūs varat sazināties ar savas valsts nodaļu Eurojust, kas jums sniegs informāciju par Eurojust kontaktpunktiem vairāk nekā četrdesmit valstīs pasaulē.</w:t>
      </w:r>
    </w:p>
    <w:p w:rsidR="002D5131" w:rsidRPr="004E35C0" w:rsidRDefault="00AB19B5">
      <w:pPr>
        <w:pStyle w:val="BodyText"/>
        <w:spacing w:before="89" w:line="276" w:lineRule="auto"/>
        <w:ind w:left="139" w:right="115"/>
        <w:jc w:val="both"/>
      </w:pPr>
      <w:r w:rsidRPr="00D44732">
        <w:t xml:space="preserve">Pašlaik Eurojust ir sadarbības līgumi ar Norvēģiju, ASV, Islandi, Šveici, Bijušo Dienvidslāvijas Maķedonijas Republiku, Lihtenšteinu, Moldovu, Melnkalni un Ukrainu. Šīs vienošanās var ietvert </w:t>
      </w:r>
      <w:r w:rsidR="00A23FB7">
        <w:t>operatīvās</w:t>
      </w:r>
      <w:r w:rsidR="00A23FB7" w:rsidRPr="004E35C0">
        <w:t xml:space="preserve"> </w:t>
      </w:r>
      <w:r w:rsidRPr="004E35C0">
        <w:t>informācijas apmaiņu, tostarp personas datu apmaiņu.</w:t>
      </w:r>
    </w:p>
    <w:p w:rsidR="002D5131" w:rsidRPr="004E35C0" w:rsidRDefault="00AB19B5">
      <w:pPr>
        <w:pStyle w:val="BodyText"/>
        <w:spacing w:before="201" w:line="273" w:lineRule="auto"/>
        <w:ind w:left="140" w:right="114"/>
        <w:jc w:val="both"/>
      </w:pPr>
      <w:r w:rsidRPr="004E35C0">
        <w:t xml:space="preserve">Vairāk informācijas skatīt: </w:t>
      </w:r>
      <w:hyperlink r:id="rId32">
        <w:r w:rsidRPr="004E35C0">
          <w:rPr>
            <w:color w:val="0000FF"/>
            <w:u w:val="single" w:color="0000FF"/>
          </w:rPr>
          <w:t>http://www.eurojust.europa.eu/doclibrary/Eurojust-</w:t>
        </w:r>
      </w:hyperlink>
      <w:hyperlink r:id="rId33">
        <w:r w:rsidRPr="004E35C0">
          <w:rPr>
            <w:color w:val="0000FF"/>
            <w:u w:val="single" w:color="0000FF"/>
          </w:rPr>
          <w:t>framework/Pages/agreements-concluded-by-eurojust.aspx.</w:t>
        </w:r>
      </w:hyperlink>
    </w:p>
    <w:p w:rsidR="002D5131" w:rsidRPr="00D44732" w:rsidRDefault="00AB19B5">
      <w:pPr>
        <w:pStyle w:val="Heading4"/>
        <w:numPr>
          <w:ilvl w:val="1"/>
          <w:numId w:val="2"/>
        </w:numPr>
        <w:tabs>
          <w:tab w:val="left" w:pos="905"/>
          <w:tab w:val="left" w:pos="906"/>
        </w:tabs>
        <w:spacing w:before="204"/>
        <w:ind w:left="905" w:hanging="360"/>
      </w:pPr>
      <w:r w:rsidRPr="00D44732">
        <w:t>Tiesiskās sadarbības veicināšana</w:t>
      </w:r>
    </w:p>
    <w:p w:rsidR="002D5131" w:rsidRPr="004F44B6" w:rsidRDefault="002D5131">
      <w:pPr>
        <w:pStyle w:val="BodyText"/>
        <w:spacing w:before="4"/>
        <w:rPr>
          <w:b/>
          <w:i/>
          <w:sz w:val="20"/>
        </w:rPr>
      </w:pPr>
    </w:p>
    <w:p w:rsidR="002D5131" w:rsidRPr="00D44732" w:rsidRDefault="00AB19B5">
      <w:pPr>
        <w:pStyle w:val="BodyText"/>
        <w:spacing w:line="276" w:lineRule="auto"/>
        <w:ind w:left="140" w:right="115"/>
        <w:jc w:val="both"/>
      </w:pPr>
      <w:r w:rsidRPr="004E35C0">
        <w:rPr>
          <w:u w:val="single"/>
        </w:rPr>
        <w:t>Sarežģītos jautājumos, steidzamās lietās vai situācijās, kad citi sadarbības kanāli nav atbilstoši vai, visticamāk, nevarēs nodrošināt rezultātus nepieciešamajā termiņā</w:t>
      </w:r>
      <w:r w:rsidRPr="004E35C0">
        <w:t>, kolēģi no valsts nodaļām var jums palīdzēt.</w:t>
      </w:r>
    </w:p>
    <w:p w:rsidR="002D5131" w:rsidRPr="00D44732" w:rsidRDefault="00AB19B5">
      <w:pPr>
        <w:pStyle w:val="BodyText"/>
        <w:spacing w:before="200"/>
        <w:ind w:left="140"/>
      </w:pPr>
      <w:r w:rsidRPr="00D44732">
        <w:t>Viņi var, piemēram:</w:t>
      </w:r>
    </w:p>
    <w:p w:rsidR="002D5131" w:rsidRPr="004F44B6" w:rsidRDefault="002D5131">
      <w:pPr>
        <w:pStyle w:val="BodyText"/>
        <w:spacing w:before="4"/>
        <w:rPr>
          <w:sz w:val="20"/>
        </w:rPr>
      </w:pPr>
    </w:p>
    <w:p w:rsidR="002D5131" w:rsidRPr="004E35C0" w:rsidRDefault="00AB19B5">
      <w:pPr>
        <w:pStyle w:val="ListParagraph"/>
        <w:numPr>
          <w:ilvl w:val="2"/>
          <w:numId w:val="2"/>
        </w:numPr>
        <w:tabs>
          <w:tab w:val="left" w:pos="990"/>
        </w:tabs>
        <w:spacing w:before="0" w:line="276" w:lineRule="auto"/>
        <w:ind w:right="114" w:firstLine="0"/>
      </w:pPr>
      <w:r w:rsidRPr="004E35C0">
        <w:t>palīdzēt iegūt informāciju par tiesiskās sadarbības lūguma statusu, piemēram, ja tiešā saziņa starp nacionālajām iestādēm vai cita saziņa nav bijusi veiksmīga;</w:t>
      </w:r>
    </w:p>
    <w:p w:rsidR="002D5131" w:rsidRPr="00D44732" w:rsidRDefault="00AB19B5">
      <w:pPr>
        <w:pStyle w:val="ListParagraph"/>
        <w:numPr>
          <w:ilvl w:val="2"/>
          <w:numId w:val="2"/>
        </w:numPr>
        <w:tabs>
          <w:tab w:val="left" w:pos="1050"/>
        </w:tabs>
        <w:spacing w:line="276" w:lineRule="auto"/>
        <w:ind w:right="116" w:firstLine="0"/>
      </w:pPr>
      <w:r w:rsidRPr="00D44732">
        <w:t>sniegt palīdzību gadījumos, kad tiesiskās sadarbības lūgumi jāizpilda steidzami. Lūdzu, ievērojiet, ka pieejami citi saziņas kanāli, kas nodrošina policijas informācijas apmaiņu un izlūkošanas darbību veikšanu;</w:t>
      </w:r>
    </w:p>
    <w:p w:rsidR="002D5131" w:rsidRPr="004E35C0" w:rsidRDefault="00AB19B5">
      <w:pPr>
        <w:pStyle w:val="ListParagraph"/>
        <w:numPr>
          <w:ilvl w:val="2"/>
          <w:numId w:val="2"/>
        </w:numPr>
        <w:tabs>
          <w:tab w:val="left" w:pos="1004"/>
        </w:tabs>
        <w:spacing w:line="276" w:lineRule="auto"/>
        <w:ind w:right="115" w:firstLine="0"/>
      </w:pPr>
      <w:r w:rsidRPr="00D44732">
        <w:t>atbalstīt speciālistus, pārbaudot lūguma vēstuļu projektus vai sagatavot EI</w:t>
      </w:r>
      <w:r w:rsidR="00696645">
        <w:t>R</w:t>
      </w:r>
      <w:r w:rsidRPr="004E35C0">
        <w:t>, piemēram, norādot informācijas veidu, kas jāietver, lai lūgumu varētu steidzami izpildīt pieprasītajā jurisdikcijā (</w:t>
      </w:r>
      <w:r w:rsidR="00696645" w:rsidRPr="00696645">
        <w:t>„</w:t>
      </w:r>
      <w:r w:rsidRPr="004E35C0">
        <w:t>kvalitātes pārbaude</w:t>
      </w:r>
      <w:r w:rsidR="00696645" w:rsidRPr="00696645">
        <w:t>“</w:t>
      </w:r>
      <w:r w:rsidRPr="004E35C0">
        <w:t>); un</w:t>
      </w:r>
    </w:p>
    <w:p w:rsidR="002D5131" w:rsidRPr="00D44732" w:rsidRDefault="00AB19B5">
      <w:pPr>
        <w:pStyle w:val="ListParagraph"/>
        <w:numPr>
          <w:ilvl w:val="2"/>
          <w:numId w:val="2"/>
        </w:numPr>
        <w:tabs>
          <w:tab w:val="left" w:pos="1033"/>
        </w:tabs>
        <w:spacing w:line="276" w:lineRule="auto"/>
        <w:ind w:right="115" w:firstLine="0"/>
      </w:pPr>
      <w:r w:rsidRPr="00D44732">
        <w:t>informēt nacionālās iestādes par lietām, kas atrodas izskatīšanā citās dalībvalstīs, pieņemot, ka Eurojust šāda informācija ir pieejama.</w:t>
      </w:r>
    </w:p>
    <w:p w:rsidR="002D5131" w:rsidRPr="00D44732" w:rsidRDefault="00AB19B5">
      <w:pPr>
        <w:pStyle w:val="Heading3"/>
        <w:numPr>
          <w:ilvl w:val="1"/>
          <w:numId w:val="2"/>
        </w:numPr>
        <w:tabs>
          <w:tab w:val="left" w:pos="905"/>
          <w:tab w:val="left" w:pos="906"/>
        </w:tabs>
        <w:spacing w:before="201"/>
        <w:ind w:left="905" w:hanging="360"/>
        <w:rPr>
          <w:rFonts w:ascii="Cambria" w:hAnsi="Cambria"/>
        </w:rPr>
      </w:pPr>
      <w:r w:rsidRPr="00D44732">
        <w:rPr>
          <w:rFonts w:ascii="Cambria" w:hAnsi="Cambria"/>
        </w:rPr>
        <w:t>Eurojust valsts koordinācijas sistēma</w:t>
      </w:r>
    </w:p>
    <w:p w:rsidR="002D5131" w:rsidRPr="004F44B6" w:rsidRDefault="002D5131">
      <w:pPr>
        <w:pStyle w:val="BodyText"/>
        <w:spacing w:before="4"/>
        <w:rPr>
          <w:b/>
          <w:sz w:val="20"/>
        </w:rPr>
      </w:pPr>
    </w:p>
    <w:p w:rsidR="002D5131" w:rsidRPr="00D44732" w:rsidRDefault="00AB19B5">
      <w:pPr>
        <w:pStyle w:val="BodyText"/>
        <w:spacing w:line="276" w:lineRule="auto"/>
        <w:ind w:left="140" w:right="114"/>
        <w:jc w:val="both"/>
      </w:pPr>
      <w:r w:rsidRPr="007A0D0C">
        <w:t xml:space="preserve">Eurojust valsts koordinācijas sistēma nodrošina koordināciju nacionālā līmenī darba ietvaros, ko </w:t>
      </w:r>
      <w:r w:rsidR="000A7AF3" w:rsidRPr="00CF0413">
        <w:t>veic dažādi subjekti</w:t>
      </w:r>
      <w:r w:rsidR="000A7AF3" w:rsidRPr="007A0D0C">
        <w:t xml:space="preserve"> </w:t>
      </w:r>
      <w:r w:rsidRPr="007A0D0C">
        <w:t xml:space="preserve">tiesiskās sadarbības </w:t>
      </w:r>
      <w:r w:rsidR="00A14E5D">
        <w:t xml:space="preserve">krimināllietās </w:t>
      </w:r>
      <w:r w:rsidR="000A7AF3">
        <w:t>jomā</w:t>
      </w:r>
      <w:r w:rsidRPr="007A0D0C">
        <w:t xml:space="preserve">, piemēram, Eurojust nacionālie korespondenti, Eurojust nacionālie korespondenti, kas atbildīgi par terorisma jautājumiem, ETST nacionālie korespondenti un līdz trim ETST kontaktpunktiem, un kopīgo izmeklēšanas grupu kontaktpunkti, un </w:t>
      </w:r>
      <w:r w:rsidR="000A7AF3">
        <w:t>g</w:t>
      </w:r>
      <w:r w:rsidRPr="007A0D0C">
        <w:t>enocīda tīkli. Tāpat Eurojust valsts koordinācijas sistēma nodrošina dažādu Eurojust uzdevumu izpildi attiecīgajā</w:t>
      </w:r>
      <w:r w:rsidRPr="004E35C0">
        <w:t xml:space="preserve"> dalībvalstī. Eurojust valsts koordinācijas sistēma palīdz noteikt, vai lietā jāpieprasa Eurojust vai ETST palīdzība.</w:t>
      </w:r>
    </w:p>
    <w:p w:rsidR="002D5131" w:rsidRPr="00D44732" w:rsidRDefault="002D5131">
      <w:pPr>
        <w:pStyle w:val="BodyText"/>
        <w:spacing w:before="4"/>
        <w:rPr>
          <w:sz w:val="25"/>
        </w:rPr>
      </w:pPr>
    </w:p>
    <w:p w:rsidR="002D5131" w:rsidRPr="004E35C0" w:rsidRDefault="00AB19B5">
      <w:pPr>
        <w:pStyle w:val="BodyText"/>
        <w:spacing w:before="1" w:line="273" w:lineRule="auto"/>
        <w:ind w:left="140" w:right="116"/>
        <w:jc w:val="both"/>
      </w:pPr>
      <w:r w:rsidRPr="00D44732">
        <w:t xml:space="preserve">Vairāk informācijas skatīt: </w:t>
      </w:r>
      <w:hyperlink r:id="rId34">
        <w:r w:rsidRPr="004E35C0">
          <w:rPr>
            <w:color w:val="0000FF"/>
            <w:u w:val="single" w:color="0000FF"/>
          </w:rPr>
          <w:t>http://www.eurojust.europa.eu/Practitioners/objectives-</w:t>
        </w:r>
      </w:hyperlink>
      <w:r w:rsidRPr="004E35C0">
        <w:rPr>
          <w:color w:val="0000FF"/>
        </w:rPr>
        <w:t xml:space="preserve"> </w:t>
      </w:r>
      <w:hyperlink r:id="rId35">
        <w:proofErr w:type="spellStart"/>
        <w:r w:rsidRPr="004E35C0">
          <w:rPr>
            <w:color w:val="0000FF"/>
            <w:u w:val="single" w:color="0000FF"/>
          </w:rPr>
          <w:t>tools</w:t>
        </w:r>
        <w:proofErr w:type="spellEnd"/>
        <w:r w:rsidRPr="004E35C0">
          <w:rPr>
            <w:color w:val="0000FF"/>
            <w:u w:val="single" w:color="0000FF"/>
          </w:rPr>
          <w:t>/</w:t>
        </w:r>
        <w:proofErr w:type="spellStart"/>
        <w:r w:rsidRPr="004E35C0">
          <w:rPr>
            <w:color w:val="0000FF"/>
            <w:u w:val="single" w:color="0000FF"/>
          </w:rPr>
          <w:t>Pages</w:t>
        </w:r>
        <w:proofErr w:type="spellEnd"/>
        <w:r w:rsidRPr="004E35C0">
          <w:rPr>
            <w:color w:val="0000FF"/>
            <w:u w:val="single" w:color="0000FF"/>
          </w:rPr>
          <w:t>/eurojust-national-coordination-system.aspx.</w:t>
        </w:r>
      </w:hyperlink>
    </w:p>
    <w:p w:rsidR="002D5131" w:rsidRPr="004F44B6" w:rsidRDefault="002D5131">
      <w:pPr>
        <w:pStyle w:val="BodyText"/>
        <w:rPr>
          <w:sz w:val="20"/>
        </w:rPr>
      </w:pPr>
    </w:p>
    <w:p w:rsidR="002D5131" w:rsidRPr="004E35C0" w:rsidRDefault="00AB19B5">
      <w:pPr>
        <w:pStyle w:val="Heading2"/>
        <w:numPr>
          <w:ilvl w:val="0"/>
          <w:numId w:val="2"/>
        </w:numPr>
        <w:tabs>
          <w:tab w:val="left" w:pos="860"/>
          <w:tab w:val="left" w:pos="861"/>
        </w:tabs>
        <w:spacing w:before="220"/>
        <w:ind w:left="860"/>
      </w:pPr>
      <w:r w:rsidRPr="004E35C0">
        <w:t>Noslēgums</w:t>
      </w:r>
    </w:p>
    <w:p w:rsidR="002D5131" w:rsidRPr="00D44732" w:rsidRDefault="00AB19B5">
      <w:pPr>
        <w:pStyle w:val="BodyText"/>
        <w:spacing w:before="259" w:line="276" w:lineRule="auto"/>
        <w:ind w:left="139" w:right="116"/>
        <w:jc w:val="both"/>
      </w:pPr>
      <w:r w:rsidRPr="00D44732">
        <w:t>Tieša saziņa starp dalībvalstu iestādēm pārrobežu sadarbības ietvaros ir būtiska. Ja jums nepieciešama palīdzība, ETST un Eurojust var sniegt jums atbalstu. Tā kā abas iestādes cieši sadarbojas, jūsu lūgumu izskatīs visatbilstīgākais speciālists.</w:t>
      </w:r>
    </w:p>
    <w:sectPr w:rsidR="002D5131" w:rsidRPr="00D44732">
      <w:pgSz w:w="11910" w:h="16840"/>
      <w:pgMar w:top="600" w:right="1320" w:bottom="1480" w:left="1300" w:header="0" w:footer="1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A5B" w:rsidRDefault="007E2A5B">
      <w:r>
        <w:separator/>
      </w:r>
    </w:p>
  </w:endnote>
  <w:endnote w:type="continuationSeparator" w:id="0">
    <w:p w:rsidR="007E2A5B" w:rsidRDefault="007E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AF6" w:rsidRDefault="00CD1AF6" w:rsidP="00CD1AF6">
    <w:pPr>
      <w:jc w:val="center"/>
    </w:pPr>
  </w:p>
  <w:p w:rsidR="002D5131" w:rsidRPr="00CD1AF6" w:rsidRDefault="00CD1AF6" w:rsidP="00CD1AF6">
    <w:pPr>
      <w:jc w:val="center"/>
    </w:pPr>
    <w:r>
      <w:t>2018. gada janvāris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A5B" w:rsidRDefault="007E2A5B">
      <w:r>
        <w:separator/>
      </w:r>
    </w:p>
  </w:footnote>
  <w:footnote w:type="continuationSeparator" w:id="0">
    <w:p w:rsidR="007E2A5B" w:rsidRDefault="007E2A5B">
      <w:r>
        <w:continuationSeparator/>
      </w:r>
    </w:p>
  </w:footnote>
  <w:footnote w:id="1">
    <w:p w:rsidR="00CD1AF6" w:rsidRPr="00CD1AF6" w:rsidRDefault="00CD1AF6">
      <w:pPr>
        <w:pStyle w:val="FootnoteText"/>
      </w:pPr>
      <w:r>
        <w:rPr>
          <w:rStyle w:val="FootnoteReference"/>
        </w:rPr>
        <w:footnoteRef/>
      </w:r>
      <w:r>
        <w:t xml:space="preserve"> </w:t>
      </w:r>
      <w:r>
        <w:rPr>
          <w:sz w:val="18"/>
        </w:rPr>
        <w:t xml:space="preserve">Šajā dokumentā termins </w:t>
      </w:r>
      <w:r w:rsidR="004F1266" w:rsidRPr="007E68CF">
        <w:t>„</w:t>
      </w:r>
      <w:r>
        <w:rPr>
          <w:sz w:val="18"/>
        </w:rPr>
        <w:t>Tiesiskās sadarbības lūgums</w:t>
      </w:r>
      <w:r w:rsidR="004F1266" w:rsidRPr="007E68CF">
        <w:t>“</w:t>
      </w:r>
      <w:r>
        <w:rPr>
          <w:sz w:val="18"/>
        </w:rPr>
        <w:t xml:space="preserve"> tiek izmantots gan attiecībā uz standarta savstarpējās tiesiskās palīdzības lūgumiem, gan lēmumiem, kas balstīti uz savstarpējās atzīšanas principu, piemēram, Eiropas </w:t>
      </w:r>
      <w:r w:rsidR="006430DA">
        <w:rPr>
          <w:sz w:val="18"/>
        </w:rPr>
        <w:t xml:space="preserve">apcietināšanas </w:t>
      </w:r>
      <w:r>
        <w:rPr>
          <w:sz w:val="18"/>
        </w:rPr>
        <w:t xml:space="preserve">orderis un Eiropas izmeklēšanas </w:t>
      </w:r>
      <w:r w:rsidR="006430DA">
        <w:rPr>
          <w:sz w:val="18"/>
        </w:rPr>
        <w:t>rīkojums</w:t>
      </w:r>
      <w:r>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261"/>
    <w:multiLevelType w:val="hybridMultilevel"/>
    <w:tmpl w:val="9ACC16B2"/>
    <w:lvl w:ilvl="0" w:tplc="0568BFDC">
      <w:numFmt w:val="bullet"/>
      <w:lvlText w:val=""/>
      <w:lvlJc w:val="left"/>
      <w:pPr>
        <w:ind w:left="859" w:hanging="361"/>
      </w:pPr>
      <w:rPr>
        <w:rFonts w:ascii="Wingdings" w:eastAsia="Wingdings" w:hAnsi="Wingdings" w:cs="Wingdings" w:hint="default"/>
        <w:w w:val="100"/>
        <w:sz w:val="22"/>
        <w:szCs w:val="22"/>
        <w:lang w:val="en-US" w:eastAsia="en-US" w:bidi="en-US"/>
      </w:rPr>
    </w:lvl>
    <w:lvl w:ilvl="1" w:tplc="06A07FB2">
      <w:numFmt w:val="bullet"/>
      <w:lvlText w:val="-"/>
      <w:lvlJc w:val="left"/>
      <w:pPr>
        <w:ind w:left="859" w:hanging="135"/>
      </w:pPr>
      <w:rPr>
        <w:rFonts w:ascii="Cambria" w:eastAsia="Cambria" w:hAnsi="Cambria" w:cs="Cambria" w:hint="default"/>
        <w:w w:val="100"/>
        <w:sz w:val="22"/>
        <w:szCs w:val="22"/>
        <w:lang w:val="en-US" w:eastAsia="en-US" w:bidi="en-US"/>
      </w:rPr>
    </w:lvl>
    <w:lvl w:ilvl="2" w:tplc="4C223678">
      <w:numFmt w:val="bullet"/>
      <w:lvlText w:val="•"/>
      <w:lvlJc w:val="left"/>
      <w:pPr>
        <w:ind w:left="2545" w:hanging="135"/>
      </w:pPr>
      <w:rPr>
        <w:rFonts w:hint="default"/>
        <w:lang w:val="en-US" w:eastAsia="en-US" w:bidi="en-US"/>
      </w:rPr>
    </w:lvl>
    <w:lvl w:ilvl="3" w:tplc="2BF853C8">
      <w:numFmt w:val="bullet"/>
      <w:lvlText w:val="•"/>
      <w:lvlJc w:val="left"/>
      <w:pPr>
        <w:ind w:left="3387" w:hanging="135"/>
      </w:pPr>
      <w:rPr>
        <w:rFonts w:hint="default"/>
        <w:lang w:val="en-US" w:eastAsia="en-US" w:bidi="en-US"/>
      </w:rPr>
    </w:lvl>
    <w:lvl w:ilvl="4" w:tplc="AA786EE4">
      <w:numFmt w:val="bullet"/>
      <w:lvlText w:val="•"/>
      <w:lvlJc w:val="left"/>
      <w:pPr>
        <w:ind w:left="4230" w:hanging="135"/>
      </w:pPr>
      <w:rPr>
        <w:rFonts w:hint="default"/>
        <w:lang w:val="en-US" w:eastAsia="en-US" w:bidi="en-US"/>
      </w:rPr>
    </w:lvl>
    <w:lvl w:ilvl="5" w:tplc="9068703E">
      <w:numFmt w:val="bullet"/>
      <w:lvlText w:val="•"/>
      <w:lvlJc w:val="left"/>
      <w:pPr>
        <w:ind w:left="5073" w:hanging="135"/>
      </w:pPr>
      <w:rPr>
        <w:rFonts w:hint="default"/>
        <w:lang w:val="en-US" w:eastAsia="en-US" w:bidi="en-US"/>
      </w:rPr>
    </w:lvl>
    <w:lvl w:ilvl="6" w:tplc="8C1C918E">
      <w:numFmt w:val="bullet"/>
      <w:lvlText w:val="•"/>
      <w:lvlJc w:val="left"/>
      <w:pPr>
        <w:ind w:left="5915" w:hanging="135"/>
      </w:pPr>
      <w:rPr>
        <w:rFonts w:hint="default"/>
        <w:lang w:val="en-US" w:eastAsia="en-US" w:bidi="en-US"/>
      </w:rPr>
    </w:lvl>
    <w:lvl w:ilvl="7" w:tplc="6B727FB2">
      <w:numFmt w:val="bullet"/>
      <w:lvlText w:val="•"/>
      <w:lvlJc w:val="left"/>
      <w:pPr>
        <w:ind w:left="6758" w:hanging="135"/>
      </w:pPr>
      <w:rPr>
        <w:rFonts w:hint="default"/>
        <w:lang w:val="en-US" w:eastAsia="en-US" w:bidi="en-US"/>
      </w:rPr>
    </w:lvl>
    <w:lvl w:ilvl="8" w:tplc="560C691C">
      <w:numFmt w:val="bullet"/>
      <w:lvlText w:val="•"/>
      <w:lvlJc w:val="left"/>
      <w:pPr>
        <w:ind w:left="7601" w:hanging="135"/>
      </w:pPr>
      <w:rPr>
        <w:rFonts w:hint="default"/>
        <w:lang w:val="en-US" w:eastAsia="en-US" w:bidi="en-US"/>
      </w:rPr>
    </w:lvl>
  </w:abstractNum>
  <w:abstractNum w:abstractNumId="1" w15:restartNumberingAfterBreak="0">
    <w:nsid w:val="76695FC3"/>
    <w:multiLevelType w:val="hybridMultilevel"/>
    <w:tmpl w:val="192E6B5A"/>
    <w:lvl w:ilvl="0" w:tplc="F2E60A34">
      <w:start w:val="1"/>
      <w:numFmt w:val="upperRoman"/>
      <w:lvlText w:val="%1."/>
      <w:lvlJc w:val="left"/>
      <w:pPr>
        <w:ind w:left="859" w:hanging="720"/>
        <w:jc w:val="left"/>
      </w:pPr>
      <w:rPr>
        <w:rFonts w:ascii="Trebuchet MS" w:eastAsia="Trebuchet MS" w:hAnsi="Trebuchet MS" w:cs="Trebuchet MS" w:hint="default"/>
        <w:b/>
        <w:bCs/>
        <w:spacing w:val="0"/>
        <w:w w:val="100"/>
        <w:sz w:val="28"/>
        <w:szCs w:val="28"/>
        <w:lang w:val="en-US" w:eastAsia="en-US" w:bidi="en-US"/>
      </w:rPr>
    </w:lvl>
    <w:lvl w:ilvl="1" w:tplc="D41A998C">
      <w:numFmt w:val="bullet"/>
      <w:lvlText w:val=""/>
      <w:lvlJc w:val="left"/>
      <w:pPr>
        <w:ind w:left="860" w:hanging="361"/>
      </w:pPr>
      <w:rPr>
        <w:rFonts w:ascii="Symbol" w:eastAsia="Symbol" w:hAnsi="Symbol" w:cs="Symbol" w:hint="default"/>
        <w:w w:val="100"/>
        <w:sz w:val="22"/>
        <w:szCs w:val="22"/>
        <w:lang w:val="en-US" w:eastAsia="en-US" w:bidi="en-US"/>
      </w:rPr>
    </w:lvl>
    <w:lvl w:ilvl="2" w:tplc="0068E160">
      <w:numFmt w:val="bullet"/>
      <w:lvlText w:val="-"/>
      <w:lvlJc w:val="left"/>
      <w:pPr>
        <w:ind w:left="860" w:hanging="130"/>
      </w:pPr>
      <w:rPr>
        <w:rFonts w:ascii="Cambria" w:eastAsia="Cambria" w:hAnsi="Cambria" w:cs="Cambria" w:hint="default"/>
        <w:w w:val="100"/>
        <w:sz w:val="22"/>
        <w:szCs w:val="22"/>
        <w:lang w:val="en-US" w:eastAsia="en-US" w:bidi="en-US"/>
      </w:rPr>
    </w:lvl>
    <w:lvl w:ilvl="3" w:tplc="B2AC01D6">
      <w:numFmt w:val="bullet"/>
      <w:lvlText w:val="•"/>
      <w:lvlJc w:val="left"/>
      <w:pPr>
        <w:ind w:left="2763" w:hanging="130"/>
      </w:pPr>
      <w:rPr>
        <w:rFonts w:hint="default"/>
        <w:lang w:val="en-US" w:eastAsia="en-US" w:bidi="en-US"/>
      </w:rPr>
    </w:lvl>
    <w:lvl w:ilvl="4" w:tplc="D92C079C">
      <w:numFmt w:val="bullet"/>
      <w:lvlText w:val="•"/>
      <w:lvlJc w:val="left"/>
      <w:pPr>
        <w:ind w:left="3695" w:hanging="130"/>
      </w:pPr>
      <w:rPr>
        <w:rFonts w:hint="default"/>
        <w:lang w:val="en-US" w:eastAsia="en-US" w:bidi="en-US"/>
      </w:rPr>
    </w:lvl>
    <w:lvl w:ilvl="5" w:tplc="5C106522">
      <w:numFmt w:val="bullet"/>
      <w:lvlText w:val="•"/>
      <w:lvlJc w:val="left"/>
      <w:pPr>
        <w:ind w:left="4627" w:hanging="130"/>
      </w:pPr>
      <w:rPr>
        <w:rFonts w:hint="default"/>
        <w:lang w:val="en-US" w:eastAsia="en-US" w:bidi="en-US"/>
      </w:rPr>
    </w:lvl>
    <w:lvl w:ilvl="6" w:tplc="6826EDC6">
      <w:numFmt w:val="bullet"/>
      <w:lvlText w:val="•"/>
      <w:lvlJc w:val="left"/>
      <w:pPr>
        <w:ind w:left="5559" w:hanging="130"/>
      </w:pPr>
      <w:rPr>
        <w:rFonts w:hint="default"/>
        <w:lang w:val="en-US" w:eastAsia="en-US" w:bidi="en-US"/>
      </w:rPr>
    </w:lvl>
    <w:lvl w:ilvl="7" w:tplc="67081928">
      <w:numFmt w:val="bullet"/>
      <w:lvlText w:val="•"/>
      <w:lvlJc w:val="left"/>
      <w:pPr>
        <w:ind w:left="6490" w:hanging="130"/>
      </w:pPr>
      <w:rPr>
        <w:rFonts w:hint="default"/>
        <w:lang w:val="en-US" w:eastAsia="en-US" w:bidi="en-US"/>
      </w:rPr>
    </w:lvl>
    <w:lvl w:ilvl="8" w:tplc="8E8C02A6">
      <w:numFmt w:val="bullet"/>
      <w:lvlText w:val="•"/>
      <w:lvlJc w:val="left"/>
      <w:pPr>
        <w:ind w:left="7422" w:hanging="13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31"/>
    <w:rsid w:val="000233BB"/>
    <w:rsid w:val="0006707C"/>
    <w:rsid w:val="000A7AF3"/>
    <w:rsid w:val="00125A9D"/>
    <w:rsid w:val="001366A5"/>
    <w:rsid w:val="00147904"/>
    <w:rsid w:val="0018190E"/>
    <w:rsid w:val="001C3FB1"/>
    <w:rsid w:val="00204DB0"/>
    <w:rsid w:val="00275C9D"/>
    <w:rsid w:val="002D5131"/>
    <w:rsid w:val="0032721A"/>
    <w:rsid w:val="0033390D"/>
    <w:rsid w:val="003A5BA2"/>
    <w:rsid w:val="0043779F"/>
    <w:rsid w:val="004E35C0"/>
    <w:rsid w:val="004F0289"/>
    <w:rsid w:val="004F1266"/>
    <w:rsid w:val="004F44B6"/>
    <w:rsid w:val="00555019"/>
    <w:rsid w:val="00574B29"/>
    <w:rsid w:val="006430DA"/>
    <w:rsid w:val="00695D9B"/>
    <w:rsid w:val="00696645"/>
    <w:rsid w:val="00705646"/>
    <w:rsid w:val="00715EF2"/>
    <w:rsid w:val="007264AA"/>
    <w:rsid w:val="007A0D0C"/>
    <w:rsid w:val="007E2A5B"/>
    <w:rsid w:val="007E68CF"/>
    <w:rsid w:val="00813088"/>
    <w:rsid w:val="00A14E5D"/>
    <w:rsid w:val="00A23FB7"/>
    <w:rsid w:val="00A91FE5"/>
    <w:rsid w:val="00AB19B5"/>
    <w:rsid w:val="00B401A9"/>
    <w:rsid w:val="00CC0BC3"/>
    <w:rsid w:val="00CD1AF6"/>
    <w:rsid w:val="00D44732"/>
    <w:rsid w:val="00D57B78"/>
    <w:rsid w:val="00D64C8A"/>
    <w:rsid w:val="00DF5E35"/>
    <w:rsid w:val="00E40C19"/>
    <w:rsid w:val="00FA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AA02A9-7F50-4940-9D1C-ED5F9DF2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322" w:right="307"/>
      <w:jc w:val="center"/>
      <w:outlineLvl w:val="0"/>
    </w:pPr>
    <w:rPr>
      <w:rFonts w:ascii="Trebuchet MS" w:eastAsia="Trebuchet MS" w:hAnsi="Trebuchet MS" w:cs="Trebuchet MS"/>
      <w:b/>
      <w:bCs/>
      <w:sz w:val="44"/>
      <w:szCs w:val="44"/>
    </w:rPr>
  </w:style>
  <w:style w:type="paragraph" w:styleId="Heading2">
    <w:name w:val="heading 2"/>
    <w:basedOn w:val="Normal"/>
    <w:uiPriority w:val="9"/>
    <w:unhideWhenUsed/>
    <w:qFormat/>
    <w:pPr>
      <w:spacing w:before="78"/>
      <w:ind w:left="859" w:hanging="719"/>
      <w:jc w:val="both"/>
      <w:outlineLvl w:val="1"/>
    </w:pPr>
    <w:rPr>
      <w:rFonts w:ascii="Trebuchet MS" w:eastAsia="Trebuchet MS" w:hAnsi="Trebuchet MS" w:cs="Trebuchet MS"/>
      <w:b/>
      <w:bCs/>
      <w:sz w:val="28"/>
      <w:szCs w:val="28"/>
    </w:rPr>
  </w:style>
  <w:style w:type="paragraph" w:styleId="Heading3">
    <w:name w:val="heading 3"/>
    <w:basedOn w:val="Normal"/>
    <w:uiPriority w:val="9"/>
    <w:unhideWhenUsed/>
    <w:qFormat/>
    <w:pPr>
      <w:spacing w:before="77"/>
      <w:ind w:left="140"/>
      <w:outlineLvl w:val="2"/>
    </w:pPr>
    <w:rPr>
      <w:rFonts w:ascii="Trebuchet MS" w:eastAsia="Trebuchet MS" w:hAnsi="Trebuchet MS" w:cs="Trebuchet MS"/>
      <w:b/>
      <w:bCs/>
    </w:rPr>
  </w:style>
  <w:style w:type="paragraph" w:styleId="Heading4">
    <w:name w:val="heading 4"/>
    <w:basedOn w:val="Normal"/>
    <w:uiPriority w:val="9"/>
    <w:unhideWhenUsed/>
    <w:qFormat/>
    <w:pPr>
      <w:ind w:left="905" w:hanging="36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0"/>
      <w:ind w:left="860" w:hanging="36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D1AF6"/>
    <w:rPr>
      <w:sz w:val="20"/>
      <w:szCs w:val="20"/>
    </w:rPr>
  </w:style>
  <w:style w:type="character" w:customStyle="1" w:styleId="FootnoteTextChar">
    <w:name w:val="Footnote Text Char"/>
    <w:basedOn w:val="DefaultParagraphFont"/>
    <w:link w:val="FootnoteText"/>
    <w:uiPriority w:val="99"/>
    <w:semiHidden/>
    <w:rsid w:val="00CD1AF6"/>
    <w:rPr>
      <w:rFonts w:ascii="Cambria" w:eastAsia="Cambria" w:hAnsi="Cambria" w:cs="Cambria"/>
      <w:sz w:val="20"/>
      <w:szCs w:val="20"/>
      <w:lang w:bidi="en-US"/>
    </w:rPr>
  </w:style>
  <w:style w:type="character" w:styleId="FootnoteReference">
    <w:name w:val="footnote reference"/>
    <w:basedOn w:val="DefaultParagraphFont"/>
    <w:uiPriority w:val="99"/>
    <w:semiHidden/>
    <w:unhideWhenUsed/>
    <w:rsid w:val="00CD1AF6"/>
    <w:rPr>
      <w:vertAlign w:val="superscript"/>
    </w:rPr>
  </w:style>
  <w:style w:type="paragraph" w:styleId="Header">
    <w:name w:val="header"/>
    <w:basedOn w:val="Normal"/>
    <w:link w:val="HeaderChar"/>
    <w:uiPriority w:val="99"/>
    <w:unhideWhenUsed/>
    <w:rsid w:val="00CD1AF6"/>
    <w:pPr>
      <w:tabs>
        <w:tab w:val="center" w:pos="4153"/>
        <w:tab w:val="right" w:pos="8306"/>
      </w:tabs>
    </w:pPr>
  </w:style>
  <w:style w:type="character" w:customStyle="1" w:styleId="HeaderChar">
    <w:name w:val="Header Char"/>
    <w:basedOn w:val="DefaultParagraphFont"/>
    <w:link w:val="Header"/>
    <w:uiPriority w:val="99"/>
    <w:rsid w:val="00CD1AF6"/>
    <w:rPr>
      <w:rFonts w:ascii="Cambria" w:eastAsia="Cambria" w:hAnsi="Cambria" w:cs="Cambria"/>
      <w:lang w:bidi="en-US"/>
    </w:rPr>
  </w:style>
  <w:style w:type="paragraph" w:styleId="Footer">
    <w:name w:val="footer"/>
    <w:basedOn w:val="Normal"/>
    <w:link w:val="FooterChar"/>
    <w:uiPriority w:val="99"/>
    <w:unhideWhenUsed/>
    <w:rsid w:val="00CD1AF6"/>
    <w:pPr>
      <w:tabs>
        <w:tab w:val="center" w:pos="4153"/>
        <w:tab w:val="right" w:pos="8306"/>
      </w:tabs>
    </w:pPr>
  </w:style>
  <w:style w:type="character" w:customStyle="1" w:styleId="FooterChar">
    <w:name w:val="Footer Char"/>
    <w:basedOn w:val="DefaultParagraphFont"/>
    <w:link w:val="Footer"/>
    <w:uiPriority w:val="99"/>
    <w:rsid w:val="00CD1AF6"/>
    <w:rPr>
      <w:rFonts w:ascii="Cambria" w:eastAsia="Cambria" w:hAnsi="Cambria" w:cs="Cambria"/>
      <w:lang w:bidi="en-US"/>
    </w:rPr>
  </w:style>
  <w:style w:type="paragraph" w:styleId="BalloonText">
    <w:name w:val="Balloon Text"/>
    <w:basedOn w:val="Normal"/>
    <w:link w:val="BalloonTextChar"/>
    <w:uiPriority w:val="99"/>
    <w:semiHidden/>
    <w:unhideWhenUsed/>
    <w:rsid w:val="004E3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C0"/>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ejn-crimjust.europa.eu/ejn/EJN_Secretariat.aspx" TargetMode="External"/><Relationship Id="rId26" Type="http://schemas.openxmlformats.org/officeDocument/2006/relationships/hyperlink" Target="http://www.eurojust.europa.eu/doclibrary/Eurojust-framework/Casework/Report%20on%20prosecuting%20THB%20for%20the%20purpose%20of%20labour%20exploitation%20(Dec.%202015)/2015-12_Report-on-prosecuting-THB-labour-exploitation_EN.pdf" TargetMode="External"/><Relationship Id="rId21" Type="http://schemas.openxmlformats.org/officeDocument/2006/relationships/hyperlink" Target="https://www.ejnforum.eu/cp/network-atlas" TargetMode="External"/><Relationship Id="rId34" Type="http://schemas.openxmlformats.org/officeDocument/2006/relationships/hyperlink" Target="http://www.eurojust.europa.eu/Practitioners/objectives-tools/Pages/eurojust-national-coordination-system.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jn-crimjust.europa.eu/ejn/EJN_Secretariat.aspx" TargetMode="External"/><Relationship Id="rId25" Type="http://schemas.openxmlformats.org/officeDocument/2006/relationships/hyperlink" Target="http://www.eurojust.europa.eu/doclibrary/Eurojust-framework/Casework/Report%20on%20prosecuting%20THB%20for%20the%20purpose%20of%20labour%20exploitation%20(Dec.%202015)/2015-12_Report-on-prosecuting-THB-labour-exploitation_EN.pdf" TargetMode="External"/><Relationship Id="rId33" Type="http://schemas.openxmlformats.org/officeDocument/2006/relationships/hyperlink" Target="http://www.eurojust.europa.eu/doclibrary/Eurojust-framework/Pages/agreements-concluded-by-eurojust.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jn-crimjust.europa.eu/" TargetMode="External"/><Relationship Id="rId29" Type="http://schemas.openxmlformats.org/officeDocument/2006/relationships/hyperlink" Target="http://eurojust.europa.eu/Practitioners/Pages/contact-info-for-practitioner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urojust.europa.eu/Practitioners/operational/Pages/Guidelines-on-jurisdiction.aspx" TargetMode="External"/><Relationship Id="rId32" Type="http://schemas.openxmlformats.org/officeDocument/2006/relationships/hyperlink" Target="http://www.eurojust.europa.eu/doclibrary/Eurojust-framework/Pages/agreements-concluded-by-eurojust.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eurojust.europa.eu/Practitioners/operational/Pages/Guidelines-on-jurisdiction.aspx" TargetMode="External"/><Relationship Id="rId28" Type="http://schemas.openxmlformats.org/officeDocument/2006/relationships/hyperlink" Target="http://www.eurojust.europa.eu/doclibrary/Eurojust-framework/Casework/Report%20on%20prosecuting%20THB%20for%20the%20purpose%20of%20labour%20exploitation%20(Dec.%202015)/2015-12_Report-on-prosecuting-THB-labour-exploitation_EN.pdf"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ejn@eurojust.europa.eu" TargetMode="External"/><Relationship Id="rId31" Type="http://schemas.openxmlformats.org/officeDocument/2006/relationships/hyperlink" Target="http://www.eurojust.europa.eu/Practitioners/JITs/Eurojust-JITsFunding/Pages/Eurojust-JITs-funding.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ejnforum.eu/cp/network-atlas" TargetMode="External"/><Relationship Id="rId27" Type="http://schemas.openxmlformats.org/officeDocument/2006/relationships/hyperlink" Target="http://www.eurojust.europa.eu/doclibrary/Eurojust-framework/Casework/Report%20on%20prosecuting%20THB%20for%20the%20purpose%20of%20labour%20exploitation%20(Dec.%202015)/2015-12_Report-on-prosecuting-THB-labour-exploitation_EN.pdf" TargetMode="External"/><Relationship Id="rId30" Type="http://schemas.openxmlformats.org/officeDocument/2006/relationships/hyperlink" Target="http://www.eurojust.europa.eu/Practitioners/JITs/Eurojust-JITsFunding/Pages/Eurojust-JITs-funding.aspx" TargetMode="External"/><Relationship Id="rId35" Type="http://schemas.openxmlformats.org/officeDocument/2006/relationships/hyperlink" Target="http://www.eurojust.europa.eu/Practitioners/objectives-tools/Pages/eurojust-national-coordination-system.aspx" TargetMode="Externa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Value xmlns="0b944bc8-ab70-4035-9388-4853844a36ce">Document ID:LV014-2080172984-822</DLCPolicyLabelValue>
    <_dlc_DocId xmlns="0b944bc8-ab70-4035-9388-4853844a36ce">LV014-2080172984-822</_dlc_DocId>
    <_dlc_DocIdUrl xmlns="0b944bc8-ab70-4035-9388-4853844a36ce">
      <Url>http://docs/college/lv/_layouts/15/DocIdRedir.aspx?ID=LV014-2080172984-822</Url>
      <Description>LV014-2080172984-822</Description>
    </_dlc_DocIdUrl>
    <DLCPolicyLabelLock xmlns="0b944bc8-ab70-4035-9388-4853844a36ce" xsi:nil="true"/>
    <Description xmlns="http://schemas.microsoft.com/sharepoint/v3/fields" xsi:nil="true"/>
    <DLCPolicyLabelClientValue xmlns="0b944bc8-ab70-4035-9388-4853844a36ce">Document ID:LV014-2080172984-822</DLCPolicyLabelClientValue>
  </documentManagement>
</p:properties>
</file>

<file path=customXml/item4.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95C38CE5A770554D91202162456FC9D0" ma:contentTypeVersion="9" ma:contentTypeDescription="Create a new document." ma:contentTypeScope="" ma:versionID="e3752ecf36fcd2ed000fa723442bfa00">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6.xml><?xml version="1.0" encoding="utf-8"?>
<?mso-contentType ?>
<SharedContentType xmlns="Microsoft.SharePoint.Taxonomy.ContentTypeSync" SourceId="76d372ae-42db-48f2-a916-c7b35bf2e6bc" ContentTypeId="0x01010026F44F5EB6FD8742ACFDBF8E7D4DFF00" PreviousValue="tru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2847-DABA-4A2C-B755-CF8FC98106BD}">
  <ds:schemaRefs>
    <ds:schemaRef ds:uri="http://schemas.microsoft.com/sharepoint/events"/>
  </ds:schemaRefs>
</ds:datastoreItem>
</file>

<file path=customXml/itemProps2.xml><?xml version="1.0" encoding="utf-8"?>
<ds:datastoreItem xmlns:ds="http://schemas.openxmlformats.org/officeDocument/2006/customXml" ds:itemID="{6D7E4C67-84D1-40BC-9F6D-E9D25963BC6D}">
  <ds:schemaRefs>
    <ds:schemaRef ds:uri="http://schemas.microsoft.com/sharepoint/v3/contenttype/forms"/>
  </ds:schemaRefs>
</ds:datastoreItem>
</file>

<file path=customXml/itemProps3.xml><?xml version="1.0" encoding="utf-8"?>
<ds:datastoreItem xmlns:ds="http://schemas.openxmlformats.org/officeDocument/2006/customXml" ds:itemID="{7076352F-D2BC-475D-93B9-5E7F6293C9DB}">
  <ds:schemaRefs>
    <ds:schemaRef ds:uri="http://purl.org/dc/terms/"/>
    <ds:schemaRef ds:uri="http://schemas.microsoft.com/sharepoint/v3/fields"/>
    <ds:schemaRef ds:uri="http://purl.org/dc/elements/1.1/"/>
    <ds:schemaRef ds:uri="0b944bc8-ab70-4035-9388-4853844a36ce"/>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564E9B6-19B2-485F-AC33-E9FFDAA01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76F9AC-4E76-4DD3-B691-2C882370A22E}">
  <ds:schemaRefs>
    <ds:schemaRef ds:uri="office.server.policy"/>
  </ds:schemaRefs>
</ds:datastoreItem>
</file>

<file path=customXml/itemProps6.xml><?xml version="1.0" encoding="utf-8"?>
<ds:datastoreItem xmlns:ds="http://schemas.openxmlformats.org/officeDocument/2006/customXml" ds:itemID="{A8FEC654-0886-4120-9C98-28D0A6A968B1}">
  <ds:schemaRefs>
    <ds:schemaRef ds:uri="Microsoft.SharePoint.Taxonomy.ContentTypeSync"/>
  </ds:schemaRefs>
</ds:datastoreItem>
</file>

<file path=customXml/itemProps7.xml><?xml version="1.0" encoding="utf-8"?>
<ds:datastoreItem xmlns:ds="http://schemas.openxmlformats.org/officeDocument/2006/customXml" ds:itemID="{E3113BF2-778C-461F-A2D3-479AC235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2456</Words>
  <Characters>14005</Characters>
  <Application>Microsoft Office Word</Application>
  <DocSecurity>0</DocSecurity>
  <Lines>116</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EUROJUST</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Ramsoekh, MK.</dc:creator>
  <cp:lastModifiedBy>Edīte Brikmane</cp:lastModifiedBy>
  <cp:revision>2</cp:revision>
  <cp:lastPrinted>2018-11-27T12:26:00Z</cp:lastPrinted>
  <dcterms:created xsi:type="dcterms:W3CDTF">2020-01-14T06:52:00Z</dcterms:created>
  <dcterms:modified xsi:type="dcterms:W3CDTF">2020-01-14T06:52:00Z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Acrobat PDFMaker 15 for Word</vt:lpwstr>
  </property>
  <property fmtid="{D5CDD505-2E9C-101B-9397-08002B2CF9AE}" pid="4" name="LastSaved">
    <vt:filetime>2018-11-16T00:00:00Z</vt:filetime>
  </property>
  <property fmtid="{D5CDD505-2E9C-101B-9397-08002B2CF9AE}" pid="5" name="ContentTypeId">
    <vt:lpwstr>0x01010026F44F5EB6FD8742ACFDBF8E7D4DFF000095C38CE5A770554D91202162456FC9D0</vt:lpwstr>
  </property>
  <property fmtid="{D5CDD505-2E9C-101B-9397-08002B2CF9AE}" pid="6" name="_dlc_DocIdItemGuid">
    <vt:lpwstr>c3d7ae5d-c0d2-4296-a3b4-f43471b3ccc8</vt:lpwstr>
  </property>
</Properties>
</file>