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15409798"/>
        <w:docPartObj>
          <w:docPartGallery w:val="Cover Pages"/>
          <w:docPartUnique/>
        </w:docPartObj>
      </w:sdtPr>
      <w:sdtEndPr>
        <w:rPr>
          <w:rFonts w:ascii="Times New Roman" w:hAnsi="Times New Roman" w:cs="Times New Roman"/>
          <w:b/>
          <w:sz w:val="24"/>
          <w:szCs w:val="24"/>
        </w:rPr>
      </w:sdtEndPr>
      <w:sdtContent>
        <w:p w14:paraId="3AAB36BE" w14:textId="77777777" w:rsidR="00EA6828" w:rsidRPr="00D12DB4" w:rsidRDefault="00EA6828" w:rsidP="00CC2ACE">
          <w:pPr>
            <w:spacing w:before="120" w:after="120"/>
          </w:pPr>
        </w:p>
        <w:p w14:paraId="555FED1D" w14:textId="77777777" w:rsidR="002223C8" w:rsidRPr="00D12DB4" w:rsidRDefault="00EA6828" w:rsidP="00CC2ACE">
          <w:pPr>
            <w:spacing w:before="120" w:after="120"/>
            <w:rPr>
              <w:rFonts w:ascii="Times New Roman" w:hAnsi="Times New Roman" w:cs="Times New Roman"/>
              <w:b/>
              <w:sz w:val="24"/>
              <w:szCs w:val="24"/>
            </w:rPr>
          </w:pPr>
          <w:r w:rsidRPr="00D12DB4">
            <w:rPr>
              <w:noProof/>
              <w:lang w:val="en-US"/>
            </w:rPr>
            <mc:AlternateContent>
              <mc:Choice Requires="wps">
                <w:drawing>
                  <wp:anchor distT="0" distB="0" distL="182880" distR="182880" simplePos="0" relativeHeight="251660288" behindDoc="0" locked="0" layoutInCell="1" allowOverlap="1" wp14:anchorId="7F201FB7" wp14:editId="0E6DAFE9">
                    <wp:simplePos x="0" y="0"/>
                    <mc:AlternateContent>
                      <mc:Choice Requires="wp14">
                        <wp:positionH relativeFrom="margin">
                          <wp14:pctPosHOffset>7700</wp14:pctPosHOffset>
                        </wp:positionH>
                      </mc:Choice>
                      <mc:Fallback>
                        <wp:positionH relativeFrom="page">
                          <wp:posOffset>1537335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kstlodziņš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617F87" w14:textId="77777777" w:rsidR="00EA6828" w:rsidRPr="00EA6828" w:rsidRDefault="00180BC2">
                                <w:pPr>
                                  <w:pStyle w:val="Bezatstarpm"/>
                                  <w:spacing w:before="40" w:after="560" w:line="216" w:lineRule="auto"/>
                                  <w:rPr>
                                    <w:rFonts w:ascii="Times New Roman" w:hAnsi="Times New Roman"/>
                                    <w:b/>
                                    <w:color w:val="4F81BD" w:themeColor="accent1"/>
                                    <w:sz w:val="72"/>
                                    <w:szCs w:val="72"/>
                                  </w:rPr>
                                </w:pPr>
                                <w:sdt>
                                  <w:sdtPr>
                                    <w:rPr>
                                      <w:rFonts w:ascii="Times New Roman" w:hAnsi="Times New Roman"/>
                                      <w:b/>
                                      <w:color w:val="7030A0"/>
                                      <w:sz w:val="72"/>
                                      <w:szCs w:val="72"/>
                                    </w:rPr>
                                    <w:alias w:val="Virsraksts"/>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A6828" w:rsidRPr="00EA6828">
                                      <w:rPr>
                                        <w:rFonts w:ascii="Times New Roman" w:hAnsi="Times New Roman"/>
                                        <w:b/>
                                        <w:color w:val="7030A0"/>
                                        <w:sz w:val="72"/>
                                        <w:szCs w:val="72"/>
                                      </w:rPr>
                                      <w:t>VADLĪNIJAS</w:t>
                                    </w:r>
                                  </w:sdtContent>
                                </w:sdt>
                              </w:p>
                              <w:sdt>
                                <w:sdtPr>
                                  <w:rPr>
                                    <w:rFonts w:ascii="Times New Roman" w:hAnsi="Times New Roman"/>
                                    <w:b/>
                                    <w:sz w:val="32"/>
                                    <w:szCs w:val="24"/>
                                    <w:lang w:val="lv-LV"/>
                                  </w:rPr>
                                  <w:alias w:val="Apakšvirsraksts"/>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F662380" w14:textId="77777777" w:rsidR="00EA6828" w:rsidRPr="00EA6828" w:rsidRDefault="00B25519" w:rsidP="00EA6828">
                                    <w:pPr>
                                      <w:pStyle w:val="Bezatstarpm"/>
                                      <w:spacing w:before="40" w:after="40"/>
                                      <w:rPr>
                                        <w:caps/>
                                        <w:sz w:val="36"/>
                                        <w:szCs w:val="28"/>
                                        <w:lang w:val="lv-LV"/>
                                      </w:rPr>
                                    </w:pPr>
                                    <w:r w:rsidRPr="0006510F">
                                      <w:rPr>
                                        <w:rFonts w:ascii="Times New Roman" w:hAnsi="Times New Roman"/>
                                        <w:b/>
                                        <w:sz w:val="32"/>
                                        <w:szCs w:val="24"/>
                                        <w:lang w:val="lv-LV"/>
                                      </w:rPr>
                                      <w:t xml:space="preserve">noziedzīgi iegūtu līdzekļu legalizācijas un terorisma finansēšanas novēršanas </w:t>
                                    </w:r>
                                    <w:r>
                                      <w:rPr>
                                        <w:rFonts w:ascii="Times New Roman" w:hAnsi="Times New Roman"/>
                                        <w:b/>
                                        <w:sz w:val="32"/>
                                        <w:szCs w:val="24"/>
                                        <w:lang w:val="lv-LV"/>
                                      </w:rPr>
                                      <w:t>u</w:t>
                                    </w:r>
                                    <w:r w:rsidRPr="0006510F">
                                      <w:rPr>
                                        <w:rFonts w:ascii="Times New Roman" w:hAnsi="Times New Roman"/>
                                        <w:b/>
                                        <w:sz w:val="32"/>
                                        <w:szCs w:val="24"/>
                                        <w:lang w:val="lv-LV"/>
                                      </w:rPr>
                                      <w:t>zraud</w:t>
                                    </w:r>
                                    <w:r>
                                      <w:rPr>
                                        <w:rFonts w:ascii="Times New Roman" w:hAnsi="Times New Roman"/>
                                        <w:b/>
                                        <w:sz w:val="32"/>
                                        <w:szCs w:val="24"/>
                                        <w:lang w:val="lv-LV"/>
                                      </w:rPr>
                                      <w:t>zības un kontroles institūciju</w:t>
                                    </w:r>
                                    <w:r w:rsidRPr="0006510F">
                                      <w:rPr>
                                        <w:rFonts w:ascii="Times New Roman" w:hAnsi="Times New Roman"/>
                                        <w:b/>
                                        <w:sz w:val="32"/>
                                        <w:szCs w:val="24"/>
                                        <w:lang w:val="lv-LV"/>
                                      </w:rPr>
                                      <w:t xml:space="preserve"> starptautiskajai sadarbībai</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F201FB7" id="_x0000_t202" coordsize="21600,21600" o:spt="202" path="m,l,21600r21600,l21600,xe">
                    <v:stroke joinstyle="miter"/>
                    <v:path gradientshapeok="t" o:connecttype="rect"/>
                  </v:shapetype>
                  <v:shape id="Tekstlodziņš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kZggIAAF0FAAAOAAAAZHJzL2Uyb0RvYy54bWysVNtO3DAQfa/Uf7D8XhIu3aIVWbQFUVVC&#10;gAoVz17HZiN8q+3dZPmA/kc/hv/qsZMsaNsXqr44k7l55swZn5x2WpG18KGxpqL7eyUlwnBbN+ah&#10;ot/vLj4cUxIiMzVT1oiKbkSgp7P3705aNxUHdmlVLTxBEhOmravoMkY3LYrAl0KzsGedMDBK6zWL&#10;+PUPRe1Zi+xaFQdlOSla62vnLRchQHveG+ks55dS8HgtZRCRqIqitphPn89FOovZCZs+eOaWDR/K&#10;YP9QhWaNwaXbVOcsMrLyzR+pdMO9DVbGPW51YaVsuMg9oJv9cqeb2yVzIvcCcILbwhT+X1p+tb7x&#10;pKkxu8N9SgzTGNKdeAxR2fqpef75/IskC3BqXZjC/dYhIHafbYeYUR+gTO130uv0RWMEdiC+2aIs&#10;ukg4lEeT48lhCROHbfLpoDw+ynMoXsKdD/GLsJokoaIeY8zosvVliCgFrqNLus3Yi0apPEplSIus&#10;hx/LHLC1IEKZ5CsyKYY0qaW+9CzFjRLJR5lvQgKU3EFSZDqKM+XJmoFIjHNhYm4+54V38pIo4i2B&#10;g/9LVW8J7vsYb7YmboN1Y6zP3e+UXT+OJcveH0C+6juJsVt0w6gXtt5g0t72OxMcv2gwjUsW4g3z&#10;WBJMEIsfr3FIZYG6HSRKltY//U2f/MFdWClpsXQVDT9WzAtK1FcDVqcNHQU/CotRMCt9ZgE/eIpq&#10;sogAH9UoSm/1Pd6DeboFJmY47qpoHMWz2K8+3hMu5vPshD10LF6aW8dT6jSNxK277p55NxAwgrtX&#10;dlxHNt3hYe+bieLmqwg2ZpImQHsUB6Cxw5m7w3uTHonX/9nr5VWc/QYAAP//AwBQSwMEFAAGAAgA&#10;AAAhAPPACkPdAAAABgEAAA8AAABkcnMvZG93bnJldi54bWxMj09LxDAQxe+C3yGM4M1N1r+lNl1E&#10;EZVFwbWwPWab2bbYTEqS3a3f3tGLXgYe7/Hm94rF5AaxxxB7TxrmMwUCqfG2p1ZD9fF4loGIyZA1&#10;gyfU8IURFuXxUWFy6w/0jvtVagWXUMyNhi6lMZcyNh06E2d+RGJv64MziWVopQ3mwOVukOdKXUtn&#10;euIPnRnxvsPmc7VzGmpVvdbrt/W2fupkNX+h5fNDHbQ+PZnubkEknNJfGH7wGR1KZtr4HdkoBg08&#10;JP1e9m4uMpYbDqmr7BJkWcj/+OU3AAAA//8DAFBLAQItABQABgAIAAAAIQC2gziS/gAAAOEBAAAT&#10;AAAAAAAAAAAAAAAAAAAAAABbQ29udGVudF9UeXBlc10ueG1sUEsBAi0AFAAGAAgAAAAhADj9If/W&#10;AAAAlAEAAAsAAAAAAAAAAAAAAAAALwEAAF9yZWxzLy5yZWxzUEsBAi0AFAAGAAgAAAAhAAUIWRmC&#10;AgAAXQUAAA4AAAAAAAAAAAAAAAAALgIAAGRycy9lMm9Eb2MueG1sUEsBAi0AFAAGAAgAAAAhAPPA&#10;CkPdAAAABgEAAA8AAAAAAAAAAAAAAAAA3AQAAGRycy9kb3ducmV2LnhtbFBLBQYAAAAABAAEAPMA&#10;AADmBQAAAAA=&#10;" filled="f" stroked="f" strokeweight=".5pt">
                    <v:textbox style="mso-fit-shape-to-text:t" inset="0,0,0,0">
                      <w:txbxContent>
                        <w:p w14:paraId="18617F87" w14:textId="77777777" w:rsidR="00EA6828" w:rsidRPr="00EA6828" w:rsidRDefault="00153302">
                          <w:pPr>
                            <w:pStyle w:val="Bezatstarpm"/>
                            <w:spacing w:before="40" w:after="560" w:line="216" w:lineRule="auto"/>
                            <w:rPr>
                              <w:rFonts w:ascii="Times New Roman" w:hAnsi="Times New Roman"/>
                              <w:b/>
                              <w:color w:val="4F81BD" w:themeColor="accent1"/>
                              <w:sz w:val="72"/>
                              <w:szCs w:val="72"/>
                            </w:rPr>
                          </w:pPr>
                          <w:sdt>
                            <w:sdtPr>
                              <w:rPr>
                                <w:rFonts w:ascii="Times New Roman" w:hAnsi="Times New Roman"/>
                                <w:b/>
                                <w:color w:val="7030A0"/>
                                <w:sz w:val="72"/>
                                <w:szCs w:val="72"/>
                              </w:rPr>
                              <w:alias w:val="Virsraksts"/>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A6828" w:rsidRPr="00EA6828">
                                <w:rPr>
                                  <w:rFonts w:ascii="Times New Roman" w:hAnsi="Times New Roman"/>
                                  <w:b/>
                                  <w:color w:val="7030A0"/>
                                  <w:sz w:val="72"/>
                                  <w:szCs w:val="72"/>
                                </w:rPr>
                                <w:t>VADLĪNIJAS</w:t>
                              </w:r>
                            </w:sdtContent>
                          </w:sdt>
                        </w:p>
                        <w:sdt>
                          <w:sdtPr>
                            <w:rPr>
                              <w:rFonts w:ascii="Times New Roman" w:hAnsi="Times New Roman"/>
                              <w:b/>
                              <w:sz w:val="32"/>
                              <w:szCs w:val="24"/>
                              <w:lang w:val="lv-LV"/>
                            </w:rPr>
                            <w:alias w:val="Apakšvirsraksts"/>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F662380" w14:textId="77777777" w:rsidR="00EA6828" w:rsidRPr="00EA6828" w:rsidRDefault="00B25519" w:rsidP="00EA6828">
                              <w:pPr>
                                <w:pStyle w:val="Bezatstarpm"/>
                                <w:spacing w:before="40" w:after="40"/>
                                <w:rPr>
                                  <w:caps/>
                                  <w:sz w:val="36"/>
                                  <w:szCs w:val="28"/>
                                  <w:lang w:val="lv-LV"/>
                                </w:rPr>
                              </w:pPr>
                              <w:r w:rsidRPr="0006510F">
                                <w:rPr>
                                  <w:rFonts w:ascii="Times New Roman" w:hAnsi="Times New Roman"/>
                                  <w:b/>
                                  <w:sz w:val="32"/>
                                  <w:szCs w:val="24"/>
                                  <w:lang w:val="lv-LV"/>
                                </w:rPr>
                                <w:t xml:space="preserve">noziedzīgi iegūtu līdzekļu legalizācijas un terorisma finansēšanas novēršanas </w:t>
                              </w:r>
                              <w:r>
                                <w:rPr>
                                  <w:rFonts w:ascii="Times New Roman" w:hAnsi="Times New Roman"/>
                                  <w:b/>
                                  <w:sz w:val="32"/>
                                  <w:szCs w:val="24"/>
                                  <w:lang w:val="lv-LV"/>
                                </w:rPr>
                                <w:t>u</w:t>
                              </w:r>
                              <w:r w:rsidRPr="0006510F">
                                <w:rPr>
                                  <w:rFonts w:ascii="Times New Roman" w:hAnsi="Times New Roman"/>
                                  <w:b/>
                                  <w:sz w:val="32"/>
                                  <w:szCs w:val="24"/>
                                  <w:lang w:val="lv-LV"/>
                                </w:rPr>
                                <w:t>zraud</w:t>
                              </w:r>
                              <w:r>
                                <w:rPr>
                                  <w:rFonts w:ascii="Times New Roman" w:hAnsi="Times New Roman"/>
                                  <w:b/>
                                  <w:sz w:val="32"/>
                                  <w:szCs w:val="24"/>
                                  <w:lang w:val="lv-LV"/>
                                </w:rPr>
                                <w:t>zības un kontroles institūciju</w:t>
                              </w:r>
                              <w:r w:rsidRPr="0006510F">
                                <w:rPr>
                                  <w:rFonts w:ascii="Times New Roman" w:hAnsi="Times New Roman"/>
                                  <w:b/>
                                  <w:sz w:val="32"/>
                                  <w:szCs w:val="24"/>
                                  <w:lang w:val="lv-LV"/>
                                </w:rPr>
                                <w:t xml:space="preserve"> starptautiskajai sadarbībai</w:t>
                              </w:r>
                            </w:p>
                          </w:sdtContent>
                        </w:sdt>
                      </w:txbxContent>
                    </v:textbox>
                    <w10:wrap type="square" anchorx="margin" anchory="page"/>
                  </v:shape>
                </w:pict>
              </mc:Fallback>
            </mc:AlternateContent>
          </w:r>
          <w:r w:rsidRPr="00D12DB4">
            <w:rPr>
              <w:noProof/>
              <w:lang w:val="en-US"/>
            </w:rPr>
            <mc:AlternateContent>
              <mc:Choice Requires="wps">
                <w:drawing>
                  <wp:anchor distT="0" distB="0" distL="114300" distR="114300" simplePos="0" relativeHeight="251659264" behindDoc="0" locked="0" layoutInCell="1" allowOverlap="1" wp14:anchorId="21023E03" wp14:editId="6E11ADB0">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15875" b="19050"/>
                    <wp:wrapNone/>
                    <wp:docPr id="132" name="Taisnstūris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Gads"/>
                                  <w:tag w:val=""/>
                                  <w:id w:val="-785116381"/>
                                  <w:dataBinding w:prefixMappings="xmlns:ns0='http://schemas.microsoft.com/office/2006/coverPageProps' " w:xpath="/ns0:CoverPageProperties[1]/ns0:PublishDate[1]" w:storeItemID="{55AF091B-3C7A-41E3-B477-F2FDAA23CFDA}"/>
                                  <w:date w:fullDate="2019-01-01T00:00:00Z">
                                    <w:dateFormat w:val="yyyy"/>
                                    <w:lid w:val="lv-LV"/>
                                    <w:storeMappedDataAs w:val="dateTime"/>
                                    <w:calendar w:val="gregorian"/>
                                  </w:date>
                                </w:sdtPr>
                                <w:sdtEndPr/>
                                <w:sdtContent>
                                  <w:p w14:paraId="3525C536" w14:textId="77777777" w:rsidR="00EA6828" w:rsidRDefault="00EA6828">
                                    <w:pPr>
                                      <w:pStyle w:val="Bezatstarpm"/>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1023E03" id="Taisnstūris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ZcvAIAAPAFAAAOAAAAZHJzL2Uyb0RvYy54bWysVEtu2zAQ3RfoHQjuG8lOnI8QOTAcpChg&#10;JEaTImuaoiyiFIclaUvulXqO3qtD6lM3DboIqoXAz7w3M48zc33T1orshXUSdE4nJyklQnMopN7m&#10;9MvT3YdLSpxnumAKtMjpQTh6M3//7roxmZhCBaoQliCJdlljclp5b7IkcbwSNXMnYITGyxJszTxu&#10;7TYpLGuQvVbJNE3PkwZsYSxw4Rye3naXdB75y1Jw/1CWTniicoqx+fi38b8J/2R+zbKtZaaSvA+D&#10;vSGKmkmNTkeqW+YZ2Vn5F1UtuQUHpT/hUCdQlpKLmANmM0lfZPNYMSNiLiiOM6NM7v/R8vv92hJZ&#10;4NudTinRrMZHemLSaed//rDSkXCOKjXGZWj8aNY25OnMCvhXRzQsK6a3YuEMao0swTb5wzhsXA9r&#10;S1sHOCZO2vgKh/EVROsJx8PZ1dnpOb4Vx6ury4vZLPpPWDaAjXX+o4CahEVOLTqO2rP9yvngnmWD&#10;SQwVlCzupFJxY7ebpbJkz7AgLtLTdBFrACHu2EzptyGRJ0CjAF3OMXt/UCIQKv1ZlKg2ZjmNIcc6&#10;F2NAjHOh/aS7qlghujhnKX5RWAwzdEZAxDwjYWAuMb+RuycYLDuSgbsTqLcPUBHbZASn/wqsA4+I&#10;6Bm0H8G11GBfI1CYVe+5sx9E6qQJKvl203aVONTbBooDVqeFrm2d4XcSn3zFnF8zi32KVYKzxz/g&#10;r1TQ5BT6FSUV2O+vnQd7bB+8paTBvs+p+7ZjVlCiPmlsrLPZxTQMiuONPd5sjjd6Vy8BK2mCU87w&#10;uESw9WpYlhbqZxxRi+AVr5jm6Dunm2G59N00whHHxWIRjXA0GOZX+tHwQB1UDgX91D4za/qq99gu&#10;9zBMCJa9KP7ONiA1LHYeShk7I+jcqdrrj2MlFlI/AsPcOt5Hq9+Dev4LAAD//wMAUEsDBBQABgAI&#10;AAAAIQBbg8db3AAAAAQBAAAPAAAAZHJzL2Rvd25yZXYueG1sTI/NTsMwEITvSLyDtUjcqMNPWhri&#10;VAgJxAEOtJW4uvE2CY3Xke3Ggadn4QKXkVYzmvm2XE22FyP60DlScDnLQCDVznTUKNhuHi9uQYSo&#10;yejeESr4xACr6vSk1IVxid5wXMdGcAmFQitoYxwKKUPdotVh5gYk9vbOWx359I00Xicut728yrK5&#10;tLojXmj1gA8t1of10Sp4X7ws/E06pKftx+vY5OnreRo2Sp2fTfd3ICJO8S8MP/iMDhUz7dyRTBC9&#10;An4k/ip7y+s5iB1n8jwHWZXyP3z1DQAA//8DAFBLAQItABQABgAIAAAAIQC2gziS/gAAAOEBAAAT&#10;AAAAAAAAAAAAAAAAAAAAAABbQ29udGVudF9UeXBlc10ueG1sUEsBAi0AFAAGAAgAAAAhADj9If/W&#10;AAAAlAEAAAsAAAAAAAAAAAAAAAAALwEAAF9yZWxzLy5yZWxzUEsBAi0AFAAGAAgAAAAhAC/Uply8&#10;AgAA8AUAAA4AAAAAAAAAAAAAAAAALgIAAGRycy9lMm9Eb2MueG1sUEsBAi0AFAAGAAgAAAAhAFuD&#10;x1vcAAAABAEAAA8AAAAAAAAAAAAAAAAAFgUAAGRycy9kb3ducmV2LnhtbFBLBQYAAAAABAAEAPMA&#10;AAAfBgAAAAA=&#10;" fillcolor="#7030a0" strokecolor="#7030a0" strokeweight="2pt">
                    <v:path arrowok="t"/>
                    <o:lock v:ext="edit" aspectratio="t"/>
                    <v:textbox inset="3.6pt,,3.6pt">
                      <w:txbxContent>
                        <w:sdt>
                          <w:sdtPr>
                            <w:rPr>
                              <w:color w:val="FFFFFF" w:themeColor="background1"/>
                              <w:sz w:val="24"/>
                              <w:szCs w:val="24"/>
                            </w:rPr>
                            <w:alias w:val="Gads"/>
                            <w:tag w:val=""/>
                            <w:id w:val="-785116381"/>
                            <w:dataBinding w:prefixMappings="xmlns:ns0='http://schemas.microsoft.com/office/2006/coverPageProps' " w:xpath="/ns0:CoverPageProperties[1]/ns0:PublishDate[1]" w:storeItemID="{55AF091B-3C7A-41E3-B477-F2FDAA23CFDA}"/>
                            <w:date w:fullDate="2019-01-01T00:00:00Z">
                              <w:dateFormat w:val="yyyy"/>
                              <w:lid w:val="lv-LV"/>
                              <w:storeMappedDataAs w:val="dateTime"/>
                              <w:calendar w:val="gregorian"/>
                            </w:date>
                          </w:sdtPr>
                          <w:sdtEndPr/>
                          <w:sdtContent>
                            <w:p w14:paraId="3525C536" w14:textId="77777777" w:rsidR="00EA6828" w:rsidRDefault="00EA6828">
                              <w:pPr>
                                <w:pStyle w:val="Bezatstarpm"/>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sidRPr="00D12DB4">
            <w:rPr>
              <w:rFonts w:ascii="Times New Roman" w:hAnsi="Times New Roman" w:cs="Times New Roman"/>
              <w:b/>
              <w:sz w:val="24"/>
              <w:szCs w:val="24"/>
            </w:rPr>
            <w:br w:type="page"/>
          </w:r>
        </w:p>
      </w:sdtContent>
    </w:sdt>
    <w:p w14:paraId="5C18666C" w14:textId="77777777" w:rsidR="002223C8" w:rsidRPr="00D12DB4" w:rsidRDefault="00CC2ACE" w:rsidP="00CC2ACE">
      <w:pPr>
        <w:pStyle w:val="Virsraksts1"/>
        <w:spacing w:before="120" w:after="120"/>
        <w:rPr>
          <w:rFonts w:ascii="Times New Roman" w:hAnsi="Times New Roman" w:cs="Times New Roman"/>
          <w:b/>
          <w:color w:val="7030A0"/>
        </w:rPr>
      </w:pPr>
      <w:r w:rsidRPr="00D12DB4">
        <w:rPr>
          <w:rFonts w:ascii="Times New Roman" w:hAnsi="Times New Roman" w:cs="Times New Roman"/>
          <w:b/>
          <w:color w:val="7030A0"/>
        </w:rPr>
        <w:lastRenderedPageBreak/>
        <w:t>IEVADS</w:t>
      </w:r>
    </w:p>
    <w:p w14:paraId="2F1E24DD" w14:textId="77777777" w:rsidR="00D64AC9" w:rsidRPr="00D12DB4" w:rsidRDefault="00D64AC9" w:rsidP="00CC2ACE">
      <w:pPr>
        <w:pStyle w:val="Heading51"/>
        <w:shd w:val="clear" w:color="auto" w:fill="auto"/>
        <w:spacing w:before="120" w:after="120" w:line="276" w:lineRule="auto"/>
        <w:ind w:firstLine="851"/>
        <w:jc w:val="both"/>
        <w:rPr>
          <w:rFonts w:ascii="Times New Roman" w:hAnsi="Times New Roman" w:cs="Times New Roman"/>
          <w:b w:val="0"/>
          <w:sz w:val="24"/>
          <w:szCs w:val="24"/>
        </w:rPr>
      </w:pPr>
      <w:r w:rsidRPr="00D12DB4">
        <w:rPr>
          <w:rFonts w:ascii="Times New Roman" w:hAnsi="Times New Roman" w:cs="Times New Roman"/>
          <w:b w:val="0"/>
          <w:sz w:val="24"/>
          <w:szCs w:val="24"/>
        </w:rPr>
        <w:t xml:space="preserve">2018. gada jūlijā Eiropas Padomes Noziedzīgi iegūtu līdzekļu legalizācijas un terorisma finansēšanas novēršanas pasākumu ekspertu komiteja (turpmāk - </w:t>
      </w:r>
      <w:proofErr w:type="spellStart"/>
      <w:r w:rsidRPr="00D12DB4">
        <w:rPr>
          <w:rFonts w:ascii="Times New Roman" w:hAnsi="Times New Roman" w:cs="Times New Roman"/>
          <w:b w:val="0"/>
          <w:sz w:val="24"/>
          <w:szCs w:val="24"/>
        </w:rPr>
        <w:t>Moneyval</w:t>
      </w:r>
      <w:proofErr w:type="spellEnd"/>
      <w:r w:rsidRPr="00D12DB4">
        <w:rPr>
          <w:rFonts w:ascii="Times New Roman" w:hAnsi="Times New Roman" w:cs="Times New Roman"/>
          <w:b w:val="0"/>
          <w:sz w:val="24"/>
          <w:szCs w:val="24"/>
        </w:rPr>
        <w:t xml:space="preserve">) apstiprināja </w:t>
      </w:r>
      <w:proofErr w:type="spellStart"/>
      <w:r w:rsidRPr="00D12DB4">
        <w:rPr>
          <w:rFonts w:ascii="Times New Roman" w:hAnsi="Times New Roman" w:cs="Times New Roman"/>
          <w:b w:val="0"/>
          <w:sz w:val="24"/>
          <w:szCs w:val="24"/>
        </w:rPr>
        <w:t>Moneyval</w:t>
      </w:r>
      <w:proofErr w:type="spellEnd"/>
      <w:r w:rsidRPr="00D12DB4">
        <w:rPr>
          <w:rFonts w:ascii="Times New Roman" w:hAnsi="Times New Roman" w:cs="Times New Roman"/>
          <w:b w:val="0"/>
          <w:sz w:val="24"/>
          <w:szCs w:val="24"/>
        </w:rPr>
        <w:t xml:space="preserve"> 5. kārtas savstarpējā novērtējuma ziņojumu par Latvijas noziedzīgi iegūto līdzekļu legalizācijas un terorisma finansēšanas novēršanas sistēmas efektivitāti par pārskata periodu līdz 2017. gada novembrim</w:t>
      </w:r>
      <w:r w:rsidR="00DF7DE5" w:rsidRPr="00D12DB4">
        <w:rPr>
          <w:rFonts w:ascii="Times New Roman" w:hAnsi="Times New Roman" w:cs="Times New Roman"/>
          <w:b w:val="0"/>
          <w:sz w:val="24"/>
          <w:szCs w:val="24"/>
        </w:rPr>
        <w:t xml:space="preserve"> (turpmāk – Ziņojums)</w:t>
      </w:r>
      <w:r w:rsidRPr="00D12DB4">
        <w:rPr>
          <w:rFonts w:ascii="Times New Roman" w:hAnsi="Times New Roman" w:cs="Times New Roman"/>
          <w:b w:val="0"/>
          <w:sz w:val="24"/>
          <w:szCs w:val="24"/>
        </w:rPr>
        <w:t>, kura ietvaros ir izteiktas noteiktas rekomendācijas attiecībā uz Latvijas tiesību aktu atbilstību Finanšu darījumu darba grupas (turpmāk - FATF) rekomendācijām.</w:t>
      </w:r>
      <w:r w:rsidRPr="00D12DB4">
        <w:rPr>
          <w:rStyle w:val="Vresatsauce"/>
          <w:rFonts w:ascii="Times New Roman" w:hAnsi="Times New Roman" w:cs="Times New Roman"/>
          <w:b w:val="0"/>
          <w:sz w:val="24"/>
          <w:szCs w:val="24"/>
        </w:rPr>
        <w:footnoteReference w:id="1"/>
      </w:r>
    </w:p>
    <w:p w14:paraId="3278EDC8" w14:textId="77777777" w:rsidR="00D64AC9" w:rsidRPr="00D12DB4" w:rsidRDefault="00D64AC9" w:rsidP="00CC2ACE">
      <w:pPr>
        <w:spacing w:before="120" w:after="120"/>
        <w:ind w:firstLine="720"/>
        <w:jc w:val="both"/>
        <w:rPr>
          <w:rFonts w:ascii="Times New Roman" w:hAnsi="Times New Roman" w:cs="Times New Roman"/>
          <w:sz w:val="24"/>
          <w:szCs w:val="24"/>
        </w:rPr>
      </w:pPr>
      <w:r w:rsidRPr="00D12DB4">
        <w:rPr>
          <w:rFonts w:ascii="Times New Roman" w:hAnsi="Times New Roman" w:cs="Times New Roman"/>
          <w:sz w:val="24"/>
          <w:szCs w:val="24"/>
        </w:rPr>
        <w:t>Ziņojumā izvērsti analizēti Latvijā spēkā esošie normatīvie akti un prakse noziedzīgi iegūtu līdzekļu legalizācijas un terorisma finansēšanas</w:t>
      </w:r>
      <w:r w:rsidR="00DF7DE5" w:rsidRPr="00D12DB4">
        <w:rPr>
          <w:rFonts w:ascii="Times New Roman" w:hAnsi="Times New Roman" w:cs="Times New Roman"/>
          <w:sz w:val="24"/>
          <w:szCs w:val="24"/>
        </w:rPr>
        <w:t xml:space="preserve"> (turpmāk – NILLTF)</w:t>
      </w:r>
      <w:r w:rsidRPr="00D12DB4">
        <w:rPr>
          <w:rFonts w:ascii="Times New Roman" w:hAnsi="Times New Roman" w:cs="Times New Roman"/>
          <w:sz w:val="24"/>
          <w:szCs w:val="24"/>
        </w:rPr>
        <w:t xml:space="preserve"> novēršanā un apkarošanā. Vērtēta gan Latvijas normatīvo aktu atbilstība starptautiskajiem standartiem noziedzīgi iegūtu līdzekļu legalizācijas novēršanai, kā arī terorisma un masveida iznīcināšanas ieroču izplatīšanas finansēšanas novēršanai (FATF</w:t>
      </w:r>
      <w:r w:rsidRPr="00D12DB4">
        <w:rPr>
          <w:rFonts w:ascii="Times New Roman" w:hAnsi="Times New Roman" w:cs="Times New Roman"/>
          <w:sz w:val="24"/>
          <w:szCs w:val="24"/>
          <w:vertAlign w:val="superscript"/>
        </w:rPr>
        <w:footnoteReference w:id="2"/>
      </w:r>
      <w:r w:rsidRPr="00D12DB4">
        <w:rPr>
          <w:rFonts w:ascii="Times New Roman" w:hAnsi="Times New Roman" w:cs="Times New Roman"/>
          <w:sz w:val="24"/>
          <w:szCs w:val="24"/>
        </w:rPr>
        <w:t xml:space="preserve">40 rekomendācijas), gan sistēmas efektivitāte atbilstoši 11 rādītājiem. </w:t>
      </w:r>
      <w:r w:rsidR="009C3C77" w:rsidRPr="00D12DB4">
        <w:rPr>
          <w:rFonts w:ascii="Times New Roman" w:hAnsi="Times New Roman" w:cs="Times New Roman"/>
          <w:sz w:val="24"/>
          <w:szCs w:val="24"/>
        </w:rPr>
        <w:t>Pamatojoties uz ekspertu secinājumiem, Latvijai ir izteiktas konkrētas rekomendācijas, kas vērstas uz konstatēto trūkumu novēršanu</w:t>
      </w:r>
      <w:r w:rsidR="00F9019C" w:rsidRPr="00D12DB4">
        <w:rPr>
          <w:rFonts w:ascii="Times New Roman" w:hAnsi="Times New Roman" w:cs="Times New Roman"/>
          <w:sz w:val="24"/>
          <w:szCs w:val="24"/>
        </w:rPr>
        <w:t xml:space="preserve"> attiecībā uz</w:t>
      </w:r>
      <w:r w:rsidR="00DF7DE5" w:rsidRPr="00D12DB4">
        <w:rPr>
          <w:rFonts w:ascii="Times New Roman" w:hAnsi="Times New Roman" w:cs="Times New Roman"/>
          <w:sz w:val="24"/>
          <w:szCs w:val="24"/>
        </w:rPr>
        <w:t xml:space="preserve"> NILLTF sistēmu, kā arī sniegts novērtējums attiecībā uz FATF 40 rekomendāciju ievieš</w:t>
      </w:r>
      <w:r w:rsidR="00C367E2" w:rsidRPr="00D12DB4">
        <w:rPr>
          <w:rFonts w:ascii="Times New Roman" w:hAnsi="Times New Roman" w:cs="Times New Roman"/>
          <w:sz w:val="24"/>
          <w:szCs w:val="24"/>
        </w:rPr>
        <w:t>anu</w:t>
      </w:r>
      <w:r w:rsidR="009C3C77" w:rsidRPr="00D12DB4">
        <w:rPr>
          <w:rFonts w:ascii="Times New Roman" w:hAnsi="Times New Roman" w:cs="Times New Roman"/>
          <w:sz w:val="24"/>
          <w:szCs w:val="24"/>
        </w:rPr>
        <w:t xml:space="preserve">. </w:t>
      </w:r>
      <w:r w:rsidRPr="00D12DB4">
        <w:rPr>
          <w:rFonts w:ascii="Times New Roman" w:hAnsi="Times New Roman" w:cs="Times New Roman"/>
          <w:sz w:val="24"/>
          <w:szCs w:val="24"/>
        </w:rPr>
        <w:t xml:space="preserve">Atbilstoši </w:t>
      </w:r>
      <w:proofErr w:type="spellStart"/>
      <w:r w:rsidRPr="00D12DB4">
        <w:rPr>
          <w:rFonts w:ascii="Times New Roman" w:hAnsi="Times New Roman" w:cs="Times New Roman"/>
          <w:sz w:val="24"/>
          <w:szCs w:val="24"/>
        </w:rPr>
        <w:t>Moneyval</w:t>
      </w:r>
      <w:proofErr w:type="spellEnd"/>
      <w:r w:rsidRPr="00D12DB4">
        <w:rPr>
          <w:rFonts w:ascii="Times New Roman" w:hAnsi="Times New Roman" w:cs="Times New Roman"/>
          <w:sz w:val="24"/>
          <w:szCs w:val="24"/>
        </w:rPr>
        <w:t xml:space="preserve"> novērtēšanas procedūras noteikumiem pašlaik Latvijai piemērota pastiprināta uzraudzība, saskaņā </w:t>
      </w:r>
      <w:r w:rsidR="00DF7DE5" w:rsidRPr="00D12DB4">
        <w:rPr>
          <w:rFonts w:ascii="Times New Roman" w:hAnsi="Times New Roman" w:cs="Times New Roman"/>
          <w:sz w:val="24"/>
          <w:szCs w:val="24"/>
        </w:rPr>
        <w:t xml:space="preserve">ar kuru </w:t>
      </w:r>
      <w:r w:rsidRPr="00D12DB4">
        <w:rPr>
          <w:rFonts w:ascii="Times New Roman" w:hAnsi="Times New Roman" w:cs="Times New Roman"/>
          <w:sz w:val="24"/>
          <w:szCs w:val="24"/>
        </w:rPr>
        <w:t>Latvijai jāsagatavo un jāiesniedz progresa ziņojums par veiktajiem pasākumiem rekomendāciju izpildē</w:t>
      </w:r>
      <w:r w:rsidR="00C367E2" w:rsidRPr="00D12DB4">
        <w:rPr>
          <w:rFonts w:ascii="Times New Roman" w:hAnsi="Times New Roman" w:cs="Times New Roman"/>
          <w:sz w:val="24"/>
          <w:szCs w:val="24"/>
        </w:rPr>
        <w:t xml:space="preserve"> līdz š.g. 31.jūlijam</w:t>
      </w:r>
      <w:r w:rsidRPr="00D12DB4">
        <w:rPr>
          <w:rFonts w:ascii="Times New Roman" w:hAnsi="Times New Roman" w:cs="Times New Roman"/>
          <w:sz w:val="24"/>
          <w:szCs w:val="24"/>
        </w:rPr>
        <w:t>.</w:t>
      </w:r>
    </w:p>
    <w:p w14:paraId="6446CDAC" w14:textId="77777777" w:rsidR="00D64AC9" w:rsidRPr="00D12DB4" w:rsidRDefault="00D64AC9" w:rsidP="00CC2ACE">
      <w:pPr>
        <w:pStyle w:val="Heading51"/>
        <w:shd w:val="clear" w:color="auto" w:fill="auto"/>
        <w:spacing w:before="120" w:after="120" w:line="276" w:lineRule="auto"/>
        <w:ind w:firstLine="851"/>
        <w:jc w:val="both"/>
        <w:rPr>
          <w:rFonts w:ascii="Times New Roman" w:hAnsi="Times New Roman" w:cs="Times New Roman"/>
          <w:b w:val="0"/>
          <w:sz w:val="24"/>
          <w:szCs w:val="24"/>
        </w:rPr>
      </w:pPr>
      <w:r w:rsidRPr="00D12DB4">
        <w:rPr>
          <w:rFonts w:ascii="Times New Roman" w:hAnsi="Times New Roman" w:cs="Times New Roman"/>
          <w:b w:val="0"/>
          <w:sz w:val="24"/>
          <w:szCs w:val="24"/>
        </w:rPr>
        <w:t>Latvijai adresēto rekomendāciju ieviešanai ar Ministru kabineta 2018. gada 11. oktobra rīkojumu Nr. 512 apstiprināts “Pasākumu plāns noziedzīgi iegūtu līdzekļu legalizācijas un terorisma finansēšanas novēršanai laikposmam līdz 2019. gada 31. decembrim” (</w:t>
      </w:r>
      <w:r w:rsidR="00DF7DE5" w:rsidRPr="00D12DB4">
        <w:rPr>
          <w:rFonts w:ascii="Times New Roman" w:hAnsi="Times New Roman" w:cs="Times New Roman"/>
          <w:b w:val="0"/>
          <w:sz w:val="24"/>
          <w:szCs w:val="24"/>
        </w:rPr>
        <w:t xml:space="preserve">turpmāk - </w:t>
      </w:r>
      <w:r w:rsidRPr="00D12DB4">
        <w:rPr>
          <w:rFonts w:ascii="Times New Roman" w:hAnsi="Times New Roman" w:cs="Times New Roman"/>
          <w:b w:val="0"/>
          <w:sz w:val="24"/>
          <w:szCs w:val="24"/>
        </w:rPr>
        <w:t>Pasākumu plāns)</w:t>
      </w:r>
      <w:r w:rsidR="00DF7DE5" w:rsidRPr="00D12DB4">
        <w:rPr>
          <w:rFonts w:ascii="Times New Roman" w:hAnsi="Times New Roman" w:cs="Times New Roman"/>
          <w:b w:val="0"/>
          <w:sz w:val="24"/>
          <w:szCs w:val="24"/>
        </w:rPr>
        <w:t xml:space="preserve"> ar pielikumiem</w:t>
      </w:r>
      <w:r w:rsidRPr="00D12DB4">
        <w:rPr>
          <w:rFonts w:ascii="Times New Roman" w:hAnsi="Times New Roman" w:cs="Times New Roman"/>
          <w:b w:val="0"/>
          <w:sz w:val="24"/>
          <w:szCs w:val="24"/>
        </w:rPr>
        <w:t xml:space="preserve">. </w:t>
      </w:r>
    </w:p>
    <w:p w14:paraId="0B4D2C49" w14:textId="531EBDC9" w:rsidR="00D64AC9" w:rsidRPr="00D12DB4" w:rsidRDefault="00735027" w:rsidP="00CC2ACE">
      <w:pPr>
        <w:pStyle w:val="Heading51"/>
        <w:shd w:val="clear" w:color="auto" w:fill="auto"/>
        <w:spacing w:before="120" w:after="120" w:line="276" w:lineRule="auto"/>
        <w:ind w:firstLine="851"/>
        <w:jc w:val="both"/>
        <w:rPr>
          <w:rFonts w:ascii="Times New Roman" w:hAnsi="Times New Roman" w:cs="Times New Roman"/>
          <w:b w:val="0"/>
          <w:sz w:val="24"/>
          <w:szCs w:val="24"/>
        </w:rPr>
      </w:pPr>
      <w:r>
        <w:rPr>
          <w:rFonts w:ascii="Times New Roman" w:hAnsi="Times New Roman" w:cs="Times New Roman"/>
          <w:b w:val="0"/>
          <w:sz w:val="24"/>
          <w:szCs w:val="24"/>
        </w:rPr>
        <w:t>Vadlīnijas izstrādātas</w:t>
      </w:r>
      <w:r w:rsidR="00D64AC9" w:rsidRPr="00D12DB4">
        <w:rPr>
          <w:rFonts w:ascii="Times New Roman" w:hAnsi="Times New Roman" w:cs="Times New Roman"/>
          <w:b w:val="0"/>
          <w:sz w:val="24"/>
          <w:szCs w:val="24"/>
        </w:rPr>
        <w:t xml:space="preserve">, izpildot </w:t>
      </w:r>
      <w:r w:rsidR="00DF7DE5" w:rsidRPr="00D12DB4">
        <w:rPr>
          <w:rFonts w:ascii="Times New Roman" w:hAnsi="Times New Roman" w:cs="Times New Roman"/>
          <w:b w:val="0"/>
          <w:sz w:val="24"/>
          <w:szCs w:val="24"/>
        </w:rPr>
        <w:t>P</w:t>
      </w:r>
      <w:r w:rsidR="00D64AC9" w:rsidRPr="00D12DB4">
        <w:rPr>
          <w:rFonts w:ascii="Times New Roman" w:hAnsi="Times New Roman" w:cs="Times New Roman"/>
          <w:b w:val="0"/>
          <w:sz w:val="24"/>
          <w:szCs w:val="24"/>
        </w:rPr>
        <w:t xml:space="preserve">asākumu plāna </w:t>
      </w:r>
      <w:r w:rsidR="00DF7DE5" w:rsidRPr="00D12DB4">
        <w:rPr>
          <w:rFonts w:ascii="Times New Roman" w:hAnsi="Times New Roman" w:cs="Times New Roman"/>
          <w:b w:val="0"/>
          <w:sz w:val="24"/>
          <w:szCs w:val="24"/>
        </w:rPr>
        <w:t>2</w:t>
      </w:r>
      <w:r w:rsidR="00D64AC9" w:rsidRPr="00D12DB4">
        <w:rPr>
          <w:rFonts w:ascii="Times New Roman" w:hAnsi="Times New Roman" w:cs="Times New Roman"/>
          <w:b w:val="0"/>
          <w:sz w:val="24"/>
          <w:szCs w:val="24"/>
        </w:rPr>
        <w:t>. rīcības virziena “</w:t>
      </w:r>
      <w:r w:rsidR="00DF7DE5" w:rsidRPr="00D12DB4">
        <w:rPr>
          <w:rFonts w:ascii="Times New Roman" w:hAnsi="Times New Roman" w:cs="Times New Roman"/>
          <w:b w:val="0"/>
          <w:sz w:val="24"/>
          <w:szCs w:val="24"/>
        </w:rPr>
        <w:t>Starptautiskā sadarbība</w:t>
      </w:r>
      <w:r w:rsidR="00D64AC9" w:rsidRPr="00D12DB4">
        <w:rPr>
          <w:rFonts w:ascii="Times New Roman" w:hAnsi="Times New Roman" w:cs="Times New Roman"/>
          <w:b w:val="0"/>
          <w:sz w:val="24"/>
          <w:szCs w:val="24"/>
        </w:rPr>
        <w:t xml:space="preserve">” </w:t>
      </w:r>
      <w:r w:rsidR="00DF7DE5" w:rsidRPr="00D12DB4">
        <w:rPr>
          <w:rFonts w:ascii="Times New Roman" w:hAnsi="Times New Roman" w:cs="Times New Roman"/>
          <w:b w:val="0"/>
          <w:sz w:val="24"/>
          <w:szCs w:val="24"/>
        </w:rPr>
        <w:t>2</w:t>
      </w:r>
      <w:r w:rsidR="00D64AC9" w:rsidRPr="00D12DB4">
        <w:rPr>
          <w:rFonts w:ascii="Times New Roman" w:hAnsi="Times New Roman" w:cs="Times New Roman"/>
          <w:b w:val="0"/>
          <w:sz w:val="24"/>
          <w:szCs w:val="24"/>
        </w:rPr>
        <w:t>.</w:t>
      </w:r>
      <w:r w:rsidR="00DF7DE5" w:rsidRPr="00D12DB4">
        <w:rPr>
          <w:rFonts w:ascii="Times New Roman" w:hAnsi="Times New Roman" w:cs="Times New Roman"/>
          <w:b w:val="0"/>
          <w:sz w:val="24"/>
          <w:szCs w:val="24"/>
        </w:rPr>
        <w:t>1</w:t>
      </w:r>
      <w:r w:rsidR="00D64AC9" w:rsidRPr="00D12DB4">
        <w:rPr>
          <w:rFonts w:ascii="Times New Roman" w:hAnsi="Times New Roman" w:cs="Times New Roman"/>
          <w:b w:val="0"/>
          <w:sz w:val="24"/>
          <w:szCs w:val="24"/>
        </w:rPr>
        <w:t>.</w:t>
      </w:r>
      <w:r w:rsidR="00DF7DE5" w:rsidRPr="00D12DB4">
        <w:rPr>
          <w:rFonts w:ascii="Times New Roman" w:hAnsi="Times New Roman" w:cs="Times New Roman"/>
          <w:b w:val="0"/>
          <w:sz w:val="24"/>
          <w:szCs w:val="24"/>
        </w:rPr>
        <w:t>, 2.2. un 2.3.</w:t>
      </w:r>
      <w:r w:rsidR="00D64AC9" w:rsidRPr="00D12DB4">
        <w:rPr>
          <w:rFonts w:ascii="Times New Roman" w:hAnsi="Times New Roman" w:cs="Times New Roman"/>
          <w:b w:val="0"/>
          <w:sz w:val="24"/>
          <w:szCs w:val="24"/>
        </w:rPr>
        <w:t> pasākum</w:t>
      </w:r>
      <w:r w:rsidR="00DF7DE5" w:rsidRPr="00D12DB4">
        <w:rPr>
          <w:rFonts w:ascii="Times New Roman" w:hAnsi="Times New Roman" w:cs="Times New Roman"/>
          <w:b w:val="0"/>
          <w:sz w:val="24"/>
          <w:szCs w:val="24"/>
        </w:rPr>
        <w:t>os</w:t>
      </w:r>
      <w:r w:rsidR="00D64AC9" w:rsidRPr="00D12DB4">
        <w:rPr>
          <w:rFonts w:ascii="Times New Roman" w:hAnsi="Times New Roman" w:cs="Times New Roman"/>
          <w:b w:val="0"/>
          <w:sz w:val="24"/>
          <w:szCs w:val="24"/>
        </w:rPr>
        <w:t xml:space="preserve"> </w:t>
      </w:r>
      <w:r w:rsidR="00DF7DE5" w:rsidRPr="00D12DB4">
        <w:rPr>
          <w:rFonts w:ascii="Times New Roman" w:hAnsi="Times New Roman" w:cs="Times New Roman"/>
          <w:b w:val="0"/>
          <w:sz w:val="24"/>
          <w:szCs w:val="24"/>
        </w:rPr>
        <w:t>Tieslietu</w:t>
      </w:r>
      <w:r w:rsidR="00D64AC9" w:rsidRPr="00D12DB4">
        <w:rPr>
          <w:rFonts w:ascii="Times New Roman" w:hAnsi="Times New Roman" w:cs="Times New Roman"/>
          <w:b w:val="0"/>
          <w:sz w:val="24"/>
          <w:szCs w:val="24"/>
        </w:rPr>
        <w:t xml:space="preserve"> ministrijai doto uzdevumu</w:t>
      </w:r>
      <w:r w:rsidR="005E3FE8" w:rsidRPr="00D12DB4">
        <w:rPr>
          <w:rFonts w:ascii="Times New Roman" w:hAnsi="Times New Roman" w:cs="Times New Roman"/>
          <w:b w:val="0"/>
          <w:sz w:val="24"/>
          <w:szCs w:val="24"/>
        </w:rPr>
        <w:t xml:space="preserve">, kā arī, lai novērstu Pasākuma plāna 2.pielikumā </w:t>
      </w:r>
      <w:r w:rsidR="00811228" w:rsidRPr="00D12DB4">
        <w:rPr>
          <w:rFonts w:ascii="Times New Roman" w:hAnsi="Times New Roman" w:cs="Times New Roman"/>
          <w:b w:val="0"/>
          <w:sz w:val="24"/>
          <w:szCs w:val="24"/>
        </w:rPr>
        <w:t xml:space="preserve">attiecībā uz FATF </w:t>
      </w:r>
      <w:r w:rsidR="00BA3EDF" w:rsidRPr="00D12DB4">
        <w:rPr>
          <w:rFonts w:ascii="Times New Roman" w:hAnsi="Times New Roman" w:cs="Times New Roman"/>
          <w:b w:val="0"/>
          <w:sz w:val="24"/>
          <w:szCs w:val="24"/>
        </w:rPr>
        <w:t>40.</w:t>
      </w:r>
      <w:r w:rsidR="00811228" w:rsidRPr="00D12DB4">
        <w:rPr>
          <w:rFonts w:ascii="Times New Roman" w:hAnsi="Times New Roman" w:cs="Times New Roman"/>
          <w:b w:val="0"/>
          <w:sz w:val="24"/>
          <w:szCs w:val="24"/>
        </w:rPr>
        <w:t xml:space="preserve">rekomendācijas ieviešanu konstatētos </w:t>
      </w:r>
      <w:r w:rsidR="00BA3EDF" w:rsidRPr="00D12DB4">
        <w:rPr>
          <w:rFonts w:ascii="Times New Roman" w:hAnsi="Times New Roman" w:cs="Times New Roman"/>
          <w:b w:val="0"/>
          <w:sz w:val="24"/>
          <w:szCs w:val="24"/>
        </w:rPr>
        <w:t xml:space="preserve">trūkumus. </w:t>
      </w:r>
    </w:p>
    <w:p w14:paraId="2AA8961B" w14:textId="77777777" w:rsidR="002223C8" w:rsidRPr="00D12DB4" w:rsidRDefault="002223C8" w:rsidP="00CC2ACE">
      <w:pPr>
        <w:pStyle w:val="Heading51"/>
        <w:shd w:val="clear" w:color="auto" w:fill="auto"/>
        <w:spacing w:before="120" w:after="120" w:line="276" w:lineRule="auto"/>
        <w:ind w:firstLine="851"/>
        <w:jc w:val="both"/>
        <w:rPr>
          <w:rFonts w:ascii="Times New Roman" w:hAnsi="Times New Roman" w:cs="Times New Roman"/>
          <w:b w:val="0"/>
          <w:sz w:val="24"/>
          <w:szCs w:val="24"/>
        </w:rPr>
      </w:pPr>
    </w:p>
    <w:p w14:paraId="20935C62" w14:textId="77777777" w:rsidR="002223C8" w:rsidRPr="00D12DB4" w:rsidRDefault="002223C8" w:rsidP="00CC2ACE">
      <w:pPr>
        <w:pStyle w:val="Virsraksts1"/>
        <w:numPr>
          <w:ilvl w:val="0"/>
          <w:numId w:val="14"/>
        </w:numPr>
        <w:spacing w:before="120" w:after="120"/>
        <w:ind w:left="426" w:hanging="426"/>
        <w:rPr>
          <w:rFonts w:ascii="Times New Roman" w:hAnsi="Times New Roman" w:cs="Times New Roman"/>
          <w:b/>
          <w:color w:val="7030A0"/>
        </w:rPr>
      </w:pPr>
      <w:r w:rsidRPr="00D12DB4">
        <w:rPr>
          <w:rFonts w:ascii="Times New Roman" w:hAnsi="Times New Roman" w:cs="Times New Roman"/>
          <w:b/>
          <w:color w:val="7030A0"/>
        </w:rPr>
        <w:t>FATF 40. rekomendācija</w:t>
      </w:r>
    </w:p>
    <w:p w14:paraId="504BD585" w14:textId="77777777" w:rsidR="00405CEA" w:rsidRPr="00D12DB4" w:rsidRDefault="00811228" w:rsidP="00CC2ACE">
      <w:pPr>
        <w:pStyle w:val="Heading51"/>
        <w:spacing w:before="120" w:after="120" w:line="276" w:lineRule="auto"/>
        <w:ind w:firstLine="851"/>
        <w:jc w:val="both"/>
        <w:rPr>
          <w:rFonts w:ascii="Times New Roman" w:hAnsi="Times New Roman" w:cs="Times New Roman"/>
          <w:b w:val="0"/>
          <w:sz w:val="24"/>
          <w:szCs w:val="24"/>
        </w:rPr>
      </w:pPr>
      <w:r w:rsidRPr="00D12DB4">
        <w:rPr>
          <w:rFonts w:ascii="Times New Roman" w:hAnsi="Times New Roman" w:cs="Times New Roman"/>
          <w:b w:val="0"/>
          <w:sz w:val="24"/>
          <w:szCs w:val="24"/>
        </w:rPr>
        <w:t>FATF 40.rekomendācija paredz</w:t>
      </w:r>
      <w:r w:rsidR="00405CEA" w:rsidRPr="00D12DB4">
        <w:rPr>
          <w:rFonts w:ascii="Times New Roman" w:hAnsi="Times New Roman" w:cs="Times New Roman"/>
          <w:b w:val="0"/>
          <w:sz w:val="24"/>
          <w:szCs w:val="24"/>
        </w:rPr>
        <w:t>, ka kompet</w:t>
      </w:r>
      <w:r w:rsidR="00A56770" w:rsidRPr="00D12DB4">
        <w:rPr>
          <w:rFonts w:ascii="Times New Roman" w:hAnsi="Times New Roman" w:cs="Times New Roman"/>
          <w:b w:val="0"/>
          <w:sz w:val="24"/>
          <w:szCs w:val="24"/>
        </w:rPr>
        <w:t xml:space="preserve">entās </w:t>
      </w:r>
      <w:r w:rsidR="00405CEA" w:rsidRPr="00D12DB4">
        <w:rPr>
          <w:rFonts w:ascii="Times New Roman" w:hAnsi="Times New Roman" w:cs="Times New Roman"/>
          <w:b w:val="0"/>
          <w:sz w:val="24"/>
          <w:szCs w:val="24"/>
        </w:rPr>
        <w:t>iestād</w:t>
      </w:r>
      <w:r w:rsidR="00A56770" w:rsidRPr="00D12DB4">
        <w:rPr>
          <w:rFonts w:ascii="Times New Roman" w:hAnsi="Times New Roman" w:cs="Times New Roman"/>
          <w:b w:val="0"/>
          <w:sz w:val="24"/>
          <w:szCs w:val="24"/>
        </w:rPr>
        <w:t>es var ātri, konstruktīv</w:t>
      </w:r>
      <w:r w:rsidR="00364CC1" w:rsidRPr="00D12DB4">
        <w:rPr>
          <w:rFonts w:ascii="Times New Roman" w:hAnsi="Times New Roman" w:cs="Times New Roman"/>
          <w:b w:val="0"/>
          <w:sz w:val="24"/>
          <w:szCs w:val="24"/>
        </w:rPr>
        <w:t>i</w:t>
      </w:r>
      <w:r w:rsidR="00A56770" w:rsidRPr="00D12DB4">
        <w:rPr>
          <w:rFonts w:ascii="Times New Roman" w:hAnsi="Times New Roman" w:cs="Times New Roman"/>
          <w:b w:val="0"/>
          <w:sz w:val="24"/>
          <w:szCs w:val="24"/>
        </w:rPr>
        <w:t xml:space="preserve"> un efektīvi nodrošināt visplašāko starptautisko sadarbību attiecībā uz noziedzīgi iegūtu līdzekļu legalizācijas, ar to saistīto predikatīvo noziedzīgo nodarījumu un terorisma finansēšanas novēršanu un apkarošanu. Rekomendācija nosaka valstīm pienākumu nodrošināt tiesisko pamatu šādai sadarbībai, kā arī nodrošināt visefektīvākos sadarbības instrumentus, tai skaitā, ja nepieciešams slēgt divpusējus un daudzpusējus līgumus, ieskaitot savstarpējās sapratnes memorandus</w:t>
      </w:r>
      <w:r w:rsidR="00405CEA" w:rsidRPr="00D12DB4">
        <w:rPr>
          <w:rFonts w:ascii="Times New Roman" w:hAnsi="Times New Roman" w:cs="Times New Roman"/>
          <w:b w:val="0"/>
          <w:sz w:val="24"/>
          <w:szCs w:val="24"/>
        </w:rPr>
        <w:t xml:space="preserve"> </w:t>
      </w:r>
      <w:r w:rsidR="00A56770" w:rsidRPr="00D12DB4">
        <w:rPr>
          <w:rFonts w:ascii="Times New Roman" w:hAnsi="Times New Roman" w:cs="Times New Roman"/>
          <w:b w:val="0"/>
          <w:sz w:val="24"/>
          <w:szCs w:val="24"/>
        </w:rPr>
        <w:t xml:space="preserve">ar ārvalstu partneriem. FATF 40.rekomendācija nosaka, ka kompetentām iestādēm ir jāizmanto skaidri kanāli </w:t>
      </w:r>
      <w:r w:rsidR="00A56770" w:rsidRPr="00D12DB4">
        <w:rPr>
          <w:rFonts w:ascii="Times New Roman" w:hAnsi="Times New Roman" w:cs="Times New Roman"/>
          <w:b w:val="0"/>
          <w:sz w:val="24"/>
          <w:szCs w:val="24"/>
        </w:rPr>
        <w:lastRenderedPageBreak/>
        <w:t xml:space="preserve">vai mehānismi efektīvai saziņai un lūgumu izpildei informācijas apmaiņas jomā, vai attiecībā uz jebkuru cita veida palīdzību. Vienlaikus rekomendācija nosaka, ka kompetentajām iestādēm ir jābūt ieviestiem skaidriem un efektīviem procesiem, kas ļauj </w:t>
      </w:r>
      <w:proofErr w:type="spellStart"/>
      <w:r w:rsidR="00A56770" w:rsidRPr="00D12DB4">
        <w:rPr>
          <w:rFonts w:ascii="Times New Roman" w:hAnsi="Times New Roman" w:cs="Times New Roman"/>
          <w:b w:val="0"/>
          <w:sz w:val="24"/>
          <w:szCs w:val="24"/>
        </w:rPr>
        <w:t>prioritizēt</w:t>
      </w:r>
      <w:proofErr w:type="spellEnd"/>
      <w:r w:rsidR="00A56770" w:rsidRPr="00D12DB4">
        <w:rPr>
          <w:rFonts w:ascii="Times New Roman" w:hAnsi="Times New Roman" w:cs="Times New Roman"/>
          <w:b w:val="0"/>
          <w:sz w:val="24"/>
          <w:szCs w:val="24"/>
        </w:rPr>
        <w:t xml:space="preserve"> un laicīgi izpildīt ārvalstu lūgumus</w:t>
      </w:r>
      <w:r w:rsidR="002C5AB6" w:rsidRPr="00D12DB4">
        <w:rPr>
          <w:rFonts w:ascii="Times New Roman" w:hAnsi="Times New Roman" w:cs="Times New Roman"/>
          <w:b w:val="0"/>
          <w:sz w:val="24"/>
          <w:szCs w:val="24"/>
        </w:rPr>
        <w:t xml:space="preserve">, kā arī aizsargāt informāciju, kas šādi tiek saņemta. </w:t>
      </w:r>
    </w:p>
    <w:p w14:paraId="084B38D2" w14:textId="77777777" w:rsidR="00227743" w:rsidRPr="00D12DB4" w:rsidRDefault="00B578C2" w:rsidP="00CC2ACE">
      <w:pPr>
        <w:spacing w:before="120" w:after="120"/>
        <w:ind w:firstLine="851"/>
        <w:jc w:val="both"/>
        <w:rPr>
          <w:rFonts w:ascii="Times New Roman" w:eastAsia="Times New Roman" w:hAnsi="Times New Roman" w:cs="Times New Roman"/>
          <w:bCs/>
          <w:sz w:val="24"/>
          <w:szCs w:val="24"/>
          <w:lang w:eastAsia="lv-LV"/>
        </w:rPr>
      </w:pPr>
      <w:r w:rsidRPr="00D12DB4">
        <w:rPr>
          <w:rFonts w:ascii="Times New Roman" w:eastAsia="Times New Roman" w:hAnsi="Times New Roman" w:cs="Times New Roman"/>
          <w:bCs/>
          <w:sz w:val="24"/>
          <w:szCs w:val="24"/>
          <w:lang w:eastAsia="lv-LV"/>
        </w:rPr>
        <w:t>Attiecībā uz FATF 40</w:t>
      </w:r>
      <w:r w:rsidR="0066584F" w:rsidRPr="00D12DB4">
        <w:rPr>
          <w:rFonts w:ascii="Times New Roman" w:eastAsia="Times New Roman" w:hAnsi="Times New Roman" w:cs="Times New Roman"/>
          <w:bCs/>
          <w:sz w:val="24"/>
          <w:szCs w:val="24"/>
          <w:lang w:eastAsia="lv-LV"/>
        </w:rPr>
        <w:t>.</w:t>
      </w:r>
      <w:r w:rsidR="00227743" w:rsidRPr="00D12DB4">
        <w:rPr>
          <w:rFonts w:ascii="Times New Roman" w:eastAsia="Times New Roman" w:hAnsi="Times New Roman" w:cs="Times New Roman"/>
          <w:bCs/>
          <w:sz w:val="24"/>
          <w:szCs w:val="24"/>
          <w:lang w:eastAsia="lv-LV"/>
        </w:rPr>
        <w:t> </w:t>
      </w:r>
      <w:r w:rsidR="0066584F" w:rsidRPr="00D12DB4">
        <w:rPr>
          <w:rFonts w:ascii="Times New Roman" w:eastAsia="Times New Roman" w:hAnsi="Times New Roman" w:cs="Times New Roman"/>
          <w:bCs/>
          <w:sz w:val="24"/>
          <w:szCs w:val="24"/>
          <w:lang w:eastAsia="lv-LV"/>
        </w:rPr>
        <w:t xml:space="preserve">rekomendāciju </w:t>
      </w:r>
      <w:proofErr w:type="spellStart"/>
      <w:r w:rsidR="002D4947" w:rsidRPr="00D12DB4">
        <w:rPr>
          <w:rFonts w:ascii="Times New Roman" w:eastAsia="Times New Roman" w:hAnsi="Times New Roman" w:cs="Times New Roman"/>
          <w:bCs/>
          <w:sz w:val="24"/>
          <w:szCs w:val="24"/>
          <w:lang w:eastAsia="lv-LV"/>
        </w:rPr>
        <w:t>Moneyval</w:t>
      </w:r>
      <w:proofErr w:type="spellEnd"/>
      <w:r w:rsidR="00B30D90" w:rsidRPr="00D12DB4">
        <w:rPr>
          <w:rFonts w:ascii="Times New Roman" w:eastAsia="Times New Roman" w:hAnsi="Times New Roman" w:cs="Times New Roman"/>
          <w:bCs/>
          <w:sz w:val="24"/>
          <w:szCs w:val="24"/>
          <w:lang w:eastAsia="lv-LV"/>
        </w:rPr>
        <w:t xml:space="preserve"> </w:t>
      </w:r>
      <w:r w:rsidR="00354A6D" w:rsidRPr="00D12DB4">
        <w:rPr>
          <w:rFonts w:ascii="Times New Roman" w:eastAsia="Times New Roman" w:hAnsi="Times New Roman" w:cs="Times New Roman"/>
          <w:bCs/>
          <w:sz w:val="24"/>
          <w:szCs w:val="24"/>
          <w:lang w:eastAsia="lv-LV"/>
        </w:rPr>
        <w:t xml:space="preserve">eksperti </w:t>
      </w:r>
      <w:r w:rsidR="002D4947" w:rsidRPr="00D12DB4">
        <w:rPr>
          <w:rFonts w:ascii="Times New Roman" w:eastAsia="Times New Roman" w:hAnsi="Times New Roman" w:cs="Times New Roman"/>
          <w:bCs/>
          <w:sz w:val="24"/>
          <w:szCs w:val="24"/>
          <w:lang w:eastAsia="lv-LV"/>
        </w:rPr>
        <w:t xml:space="preserve">ir secinājuši, ka Latvijas tiesību akti </w:t>
      </w:r>
      <w:r w:rsidR="006D5AF0" w:rsidRPr="00D12DB4">
        <w:rPr>
          <w:rFonts w:ascii="Times New Roman" w:eastAsia="Times New Roman" w:hAnsi="Times New Roman" w:cs="Times New Roman"/>
          <w:bCs/>
          <w:sz w:val="24"/>
          <w:szCs w:val="24"/>
          <w:lang w:eastAsia="lv-LV"/>
        </w:rPr>
        <w:t xml:space="preserve">atbilst vai </w:t>
      </w:r>
      <w:r w:rsidR="00811228" w:rsidRPr="00D12DB4">
        <w:rPr>
          <w:rFonts w:ascii="Times New Roman" w:eastAsia="Times New Roman" w:hAnsi="Times New Roman" w:cs="Times New Roman"/>
          <w:bCs/>
          <w:sz w:val="24"/>
          <w:szCs w:val="24"/>
          <w:lang w:eastAsia="lv-LV"/>
        </w:rPr>
        <w:t>lielākoties</w:t>
      </w:r>
      <w:r w:rsidR="002D4947" w:rsidRPr="00D12DB4">
        <w:rPr>
          <w:rFonts w:ascii="Times New Roman" w:eastAsia="Times New Roman" w:hAnsi="Times New Roman" w:cs="Times New Roman"/>
          <w:bCs/>
          <w:sz w:val="24"/>
          <w:szCs w:val="24"/>
          <w:lang w:eastAsia="lv-LV"/>
        </w:rPr>
        <w:t xml:space="preserve"> atbilst</w:t>
      </w:r>
      <w:r w:rsidR="006D5AF0" w:rsidRPr="00D12DB4">
        <w:rPr>
          <w:rFonts w:ascii="Times New Roman" w:eastAsia="Times New Roman" w:hAnsi="Times New Roman" w:cs="Times New Roman"/>
          <w:bCs/>
          <w:sz w:val="24"/>
          <w:szCs w:val="24"/>
          <w:lang w:eastAsia="lv-LV"/>
        </w:rPr>
        <w:t xml:space="preserve"> 1</w:t>
      </w:r>
      <w:r w:rsidR="00811228" w:rsidRPr="00D12DB4">
        <w:rPr>
          <w:rFonts w:ascii="Times New Roman" w:eastAsia="Times New Roman" w:hAnsi="Times New Roman" w:cs="Times New Roman"/>
          <w:bCs/>
          <w:sz w:val="24"/>
          <w:szCs w:val="24"/>
          <w:lang w:eastAsia="lv-LV"/>
        </w:rPr>
        <w:t>3</w:t>
      </w:r>
      <w:r w:rsidR="006D5AF0" w:rsidRPr="00D12DB4">
        <w:rPr>
          <w:rFonts w:ascii="Times New Roman" w:eastAsia="Times New Roman" w:hAnsi="Times New Roman" w:cs="Times New Roman"/>
          <w:bCs/>
          <w:sz w:val="24"/>
          <w:szCs w:val="24"/>
          <w:lang w:eastAsia="lv-LV"/>
        </w:rPr>
        <w:t xml:space="preserve"> no 20</w:t>
      </w:r>
      <w:r w:rsidR="002D4947" w:rsidRPr="00D12DB4">
        <w:rPr>
          <w:rFonts w:ascii="Times New Roman" w:eastAsia="Times New Roman" w:hAnsi="Times New Roman" w:cs="Times New Roman"/>
          <w:bCs/>
          <w:sz w:val="24"/>
          <w:szCs w:val="24"/>
          <w:lang w:eastAsia="lv-LV"/>
        </w:rPr>
        <w:t xml:space="preserve"> </w:t>
      </w:r>
      <w:r w:rsidR="0066584F" w:rsidRPr="00D12DB4">
        <w:rPr>
          <w:rFonts w:ascii="Times New Roman" w:eastAsia="Times New Roman" w:hAnsi="Times New Roman" w:cs="Times New Roman"/>
          <w:bCs/>
          <w:sz w:val="24"/>
          <w:szCs w:val="24"/>
          <w:lang w:eastAsia="lv-LV"/>
        </w:rPr>
        <w:t xml:space="preserve">minētās rekomendācijas </w:t>
      </w:r>
      <w:r w:rsidR="006D5AF0" w:rsidRPr="00D12DB4">
        <w:rPr>
          <w:rFonts w:ascii="Times New Roman" w:eastAsia="Times New Roman" w:hAnsi="Times New Roman" w:cs="Times New Roman"/>
          <w:bCs/>
          <w:sz w:val="24"/>
          <w:szCs w:val="24"/>
          <w:lang w:eastAsia="lv-LV"/>
        </w:rPr>
        <w:t>kritērijiem</w:t>
      </w:r>
      <w:r w:rsidR="002D4947" w:rsidRPr="00D12DB4">
        <w:rPr>
          <w:rFonts w:ascii="Times New Roman" w:eastAsia="Times New Roman" w:hAnsi="Times New Roman" w:cs="Times New Roman"/>
          <w:bCs/>
          <w:sz w:val="24"/>
          <w:szCs w:val="24"/>
          <w:lang w:eastAsia="lv-LV"/>
        </w:rPr>
        <w:t xml:space="preserve">. </w:t>
      </w:r>
      <w:r w:rsidR="00811228" w:rsidRPr="00D12DB4">
        <w:rPr>
          <w:rFonts w:ascii="Times New Roman" w:eastAsia="Times New Roman" w:hAnsi="Times New Roman" w:cs="Times New Roman"/>
          <w:bCs/>
          <w:sz w:val="24"/>
          <w:szCs w:val="24"/>
          <w:lang w:eastAsia="lv-LV"/>
        </w:rPr>
        <w:t>Savukārt attiecībā uz 7 kritērijiem Latvija ir ieviesusi minēt</w:t>
      </w:r>
      <w:r w:rsidR="002223C8" w:rsidRPr="00D12DB4">
        <w:rPr>
          <w:rFonts w:ascii="Times New Roman" w:eastAsia="Times New Roman" w:hAnsi="Times New Roman" w:cs="Times New Roman"/>
          <w:bCs/>
          <w:sz w:val="24"/>
          <w:szCs w:val="24"/>
          <w:lang w:eastAsia="lv-LV"/>
        </w:rPr>
        <w:t>ās rekomendācijas tikai daļēji.</w:t>
      </w:r>
    </w:p>
    <w:p w14:paraId="48CF7A2C" w14:textId="77777777" w:rsidR="002223C8" w:rsidRPr="00D12DB4" w:rsidRDefault="002223C8" w:rsidP="00CC2ACE">
      <w:pPr>
        <w:spacing w:before="120" w:after="120"/>
        <w:jc w:val="both"/>
        <w:rPr>
          <w:rFonts w:ascii="Times New Roman" w:eastAsia="Times New Roman" w:hAnsi="Times New Roman" w:cs="Times New Roman"/>
          <w:bCs/>
          <w:sz w:val="24"/>
          <w:szCs w:val="24"/>
          <w:lang w:eastAsia="lv-LV"/>
        </w:rPr>
      </w:pPr>
    </w:p>
    <w:p w14:paraId="5A8ED86D" w14:textId="77777777" w:rsidR="00227743" w:rsidRPr="00D12DB4" w:rsidRDefault="006D5AF0" w:rsidP="00CC2ACE">
      <w:pPr>
        <w:spacing w:before="120" w:after="120"/>
        <w:ind w:firstLine="709"/>
        <w:jc w:val="both"/>
        <w:rPr>
          <w:rFonts w:ascii="Times New Roman" w:eastAsia="Times New Roman" w:hAnsi="Times New Roman" w:cs="Times New Roman"/>
          <w:bCs/>
          <w:sz w:val="24"/>
          <w:szCs w:val="24"/>
          <w:lang w:eastAsia="lv-LV"/>
        </w:rPr>
      </w:pPr>
      <w:r w:rsidRPr="00D12DB4">
        <w:rPr>
          <w:rFonts w:ascii="Times New Roman" w:eastAsia="Times New Roman" w:hAnsi="Times New Roman" w:cs="Times New Roman"/>
          <w:bCs/>
          <w:sz w:val="24"/>
          <w:szCs w:val="24"/>
          <w:lang w:eastAsia="lv-LV"/>
        </w:rPr>
        <w:t xml:space="preserve">Latvija normatīvais regulējums </w:t>
      </w:r>
      <w:r w:rsidR="002C5AB6" w:rsidRPr="00D12DB4">
        <w:rPr>
          <w:rFonts w:ascii="Times New Roman" w:eastAsia="Times New Roman" w:hAnsi="Times New Roman" w:cs="Times New Roman"/>
          <w:bCs/>
          <w:sz w:val="24"/>
          <w:szCs w:val="24"/>
          <w:lang w:eastAsia="lv-LV"/>
        </w:rPr>
        <w:t xml:space="preserve">tikai </w:t>
      </w:r>
      <w:r w:rsidR="0004454E" w:rsidRPr="00D12DB4">
        <w:rPr>
          <w:rFonts w:ascii="Times New Roman" w:eastAsia="Times New Roman" w:hAnsi="Times New Roman" w:cs="Times New Roman"/>
          <w:bCs/>
          <w:sz w:val="24"/>
          <w:szCs w:val="24"/>
          <w:lang w:eastAsia="lv-LV"/>
        </w:rPr>
        <w:t>daļēji atbilst</w:t>
      </w:r>
      <w:r w:rsidRPr="00D12DB4">
        <w:rPr>
          <w:rFonts w:ascii="Times New Roman" w:eastAsia="Times New Roman" w:hAnsi="Times New Roman" w:cs="Times New Roman"/>
          <w:bCs/>
          <w:sz w:val="24"/>
          <w:szCs w:val="24"/>
          <w:lang w:eastAsia="lv-LV"/>
        </w:rPr>
        <w:t xml:space="preserve"> šādiem FATF 40. rekomendācijas kritērijiem</w:t>
      </w:r>
      <w:r w:rsidR="00227743" w:rsidRPr="00D12DB4">
        <w:rPr>
          <w:rFonts w:ascii="Times New Roman" w:eastAsia="Times New Roman" w:hAnsi="Times New Roman" w:cs="Times New Roman"/>
          <w:bCs/>
          <w:sz w:val="24"/>
          <w:szCs w:val="24"/>
          <w:lang w:eastAsia="lv-LV"/>
        </w:rPr>
        <w:t>:</w:t>
      </w:r>
    </w:p>
    <w:p w14:paraId="3511C3C3" w14:textId="77777777" w:rsidR="006D5AF0" w:rsidRPr="00D12DB4" w:rsidRDefault="00226DB6" w:rsidP="00CC2ACE">
      <w:pPr>
        <w:pStyle w:val="Sarakstarindkopa"/>
        <w:numPr>
          <w:ilvl w:val="1"/>
          <w:numId w:val="5"/>
        </w:numPr>
        <w:spacing w:before="120" w:after="120"/>
        <w:ind w:left="851" w:hanging="491"/>
        <w:jc w:val="both"/>
        <w:rPr>
          <w:rFonts w:ascii="Times New Roman" w:eastAsia="Times New Roman" w:hAnsi="Times New Roman" w:cs="Times New Roman"/>
          <w:bCs/>
          <w:sz w:val="24"/>
          <w:szCs w:val="24"/>
          <w:lang w:eastAsia="lv-LV"/>
        </w:rPr>
      </w:pPr>
      <w:r w:rsidRPr="00D12DB4">
        <w:rPr>
          <w:rFonts w:ascii="Times New Roman" w:eastAsia="Times New Roman" w:hAnsi="Times New Roman" w:cs="Times New Roman"/>
          <w:bCs/>
          <w:sz w:val="24"/>
          <w:szCs w:val="24"/>
          <w:lang w:eastAsia="lv-LV"/>
        </w:rPr>
        <w:t xml:space="preserve">Normatīvie akti neparedz pienākumu </w:t>
      </w:r>
      <w:r w:rsidR="004875BA" w:rsidRPr="00D12DB4">
        <w:rPr>
          <w:rFonts w:ascii="Times New Roman" w:eastAsia="Times New Roman" w:hAnsi="Times New Roman" w:cs="Times New Roman"/>
          <w:bCs/>
          <w:sz w:val="24"/>
          <w:szCs w:val="24"/>
          <w:lang w:eastAsia="lv-LV"/>
        </w:rPr>
        <w:t xml:space="preserve">Noziedzīgi iegūtu līdzekļu legalizācijas un terorisma finansēšanas novēršanas likumā (turpmāk – NILLTFNL) noteiktajām </w:t>
      </w:r>
      <w:r w:rsidRPr="00D12DB4">
        <w:rPr>
          <w:rFonts w:ascii="Times New Roman" w:eastAsia="Times New Roman" w:hAnsi="Times New Roman" w:cs="Times New Roman"/>
          <w:bCs/>
          <w:sz w:val="24"/>
          <w:szCs w:val="24"/>
          <w:lang w:eastAsia="lv-LV"/>
        </w:rPr>
        <w:t>uzraudzības un kontroles institūcijām</w:t>
      </w:r>
      <w:r w:rsidR="00D12DC8" w:rsidRPr="00D12DB4">
        <w:rPr>
          <w:rFonts w:ascii="Times New Roman" w:eastAsia="Times New Roman" w:hAnsi="Times New Roman" w:cs="Times New Roman"/>
          <w:bCs/>
          <w:sz w:val="24"/>
          <w:szCs w:val="24"/>
          <w:lang w:eastAsia="lv-LV"/>
        </w:rPr>
        <w:t xml:space="preserve"> (turpmāk – uzraugošās iestādes)</w:t>
      </w:r>
      <w:r w:rsidRPr="00D12DB4">
        <w:rPr>
          <w:rFonts w:ascii="Times New Roman" w:eastAsia="Times New Roman" w:hAnsi="Times New Roman" w:cs="Times New Roman"/>
          <w:bCs/>
          <w:sz w:val="24"/>
          <w:szCs w:val="24"/>
          <w:lang w:eastAsia="lv-LV"/>
        </w:rPr>
        <w:t xml:space="preserve"> veikt informācijas apmaiņu ar ārvalstu iestādēm</w:t>
      </w:r>
      <w:r w:rsidR="00A54169" w:rsidRPr="00D12DB4">
        <w:rPr>
          <w:rFonts w:ascii="Times New Roman" w:eastAsia="Times New Roman" w:hAnsi="Times New Roman" w:cs="Times New Roman"/>
          <w:bCs/>
          <w:sz w:val="24"/>
          <w:szCs w:val="24"/>
          <w:lang w:eastAsia="lv-LV"/>
        </w:rPr>
        <w:t xml:space="preserve"> ātri</w:t>
      </w:r>
      <w:r w:rsidR="0004454E" w:rsidRPr="00D12DB4">
        <w:rPr>
          <w:rFonts w:ascii="Times New Roman" w:eastAsia="Times New Roman" w:hAnsi="Times New Roman" w:cs="Times New Roman"/>
          <w:bCs/>
          <w:sz w:val="24"/>
          <w:szCs w:val="24"/>
          <w:lang w:eastAsia="lv-LV"/>
        </w:rPr>
        <w:t>;</w:t>
      </w:r>
    </w:p>
    <w:p w14:paraId="058FD47A" w14:textId="77777777" w:rsidR="002C5AB6" w:rsidRPr="00D12DB4" w:rsidRDefault="00A54169" w:rsidP="00CC2ACE">
      <w:pPr>
        <w:pStyle w:val="Sarakstarindkopa"/>
        <w:numPr>
          <w:ilvl w:val="1"/>
          <w:numId w:val="5"/>
        </w:numPr>
        <w:spacing w:before="120" w:after="120"/>
        <w:ind w:left="851" w:hanging="491"/>
        <w:jc w:val="both"/>
        <w:rPr>
          <w:rFonts w:ascii="Times New Roman" w:eastAsia="Times New Roman" w:hAnsi="Times New Roman" w:cs="Times New Roman"/>
          <w:bCs/>
          <w:sz w:val="24"/>
          <w:szCs w:val="24"/>
          <w:lang w:eastAsia="lv-LV"/>
        </w:rPr>
      </w:pPr>
      <w:r w:rsidRPr="00D12DB4">
        <w:rPr>
          <w:rFonts w:ascii="Times New Roman" w:eastAsia="Times New Roman" w:hAnsi="Times New Roman" w:cs="Times New Roman"/>
          <w:bCs/>
          <w:sz w:val="24"/>
          <w:szCs w:val="24"/>
          <w:lang w:eastAsia="lv-LV"/>
        </w:rPr>
        <w:t>Ne visas uzraugošās iestādes starptautiskajā informācijas apmaiņā izmanto skaidrus un drošus mehānismus un kanālus, ar kuru palīdzību saņemt un nosūtīt starptautiskās palīdzības lūgumus;</w:t>
      </w:r>
    </w:p>
    <w:p w14:paraId="79D70E7B" w14:textId="77777777" w:rsidR="00A54169" w:rsidRPr="00D12DB4" w:rsidRDefault="00A54169" w:rsidP="00CC2ACE">
      <w:pPr>
        <w:pStyle w:val="Sarakstarindkopa"/>
        <w:numPr>
          <w:ilvl w:val="1"/>
          <w:numId w:val="5"/>
        </w:numPr>
        <w:spacing w:before="120" w:after="120"/>
        <w:ind w:left="851" w:hanging="491"/>
        <w:jc w:val="both"/>
        <w:rPr>
          <w:rFonts w:ascii="Times New Roman" w:eastAsia="Times New Roman" w:hAnsi="Times New Roman" w:cs="Times New Roman"/>
          <w:bCs/>
          <w:sz w:val="24"/>
          <w:szCs w:val="24"/>
          <w:lang w:eastAsia="lv-LV"/>
        </w:rPr>
      </w:pPr>
      <w:r w:rsidRPr="00D12DB4">
        <w:rPr>
          <w:rFonts w:ascii="Times New Roman" w:eastAsia="Times New Roman" w:hAnsi="Times New Roman" w:cs="Times New Roman"/>
          <w:bCs/>
          <w:sz w:val="24"/>
          <w:szCs w:val="24"/>
          <w:lang w:eastAsia="lv-LV"/>
        </w:rPr>
        <w:t xml:space="preserve">Normatīvie akti nenosaka starptautiskās palīdzības lūgumu </w:t>
      </w:r>
      <w:proofErr w:type="spellStart"/>
      <w:r w:rsidR="00EC1043" w:rsidRPr="00D12DB4">
        <w:rPr>
          <w:rFonts w:ascii="Times New Roman" w:eastAsia="Times New Roman" w:hAnsi="Times New Roman" w:cs="Times New Roman"/>
          <w:bCs/>
          <w:sz w:val="24"/>
          <w:szCs w:val="24"/>
          <w:lang w:eastAsia="lv-LV"/>
        </w:rPr>
        <w:t>prioritizācijas</w:t>
      </w:r>
      <w:proofErr w:type="spellEnd"/>
      <w:r w:rsidRPr="00D12DB4">
        <w:rPr>
          <w:rFonts w:ascii="Times New Roman" w:eastAsia="Times New Roman" w:hAnsi="Times New Roman" w:cs="Times New Roman"/>
          <w:bCs/>
          <w:sz w:val="24"/>
          <w:szCs w:val="24"/>
          <w:lang w:eastAsia="lv-LV"/>
        </w:rPr>
        <w:t xml:space="preserve"> procesu;</w:t>
      </w:r>
    </w:p>
    <w:p w14:paraId="4A536D6F" w14:textId="77777777" w:rsidR="00A54169" w:rsidRPr="00D12DB4" w:rsidRDefault="00A54169" w:rsidP="00CC2ACE">
      <w:pPr>
        <w:pStyle w:val="Sarakstarindkopa"/>
        <w:numPr>
          <w:ilvl w:val="1"/>
          <w:numId w:val="5"/>
        </w:numPr>
        <w:spacing w:before="120" w:after="120"/>
        <w:ind w:left="851" w:hanging="491"/>
        <w:jc w:val="both"/>
        <w:rPr>
          <w:rFonts w:ascii="Times New Roman" w:eastAsia="Times New Roman" w:hAnsi="Times New Roman" w:cs="Times New Roman"/>
          <w:bCs/>
          <w:sz w:val="24"/>
          <w:szCs w:val="24"/>
          <w:lang w:eastAsia="lv-LV"/>
        </w:rPr>
      </w:pPr>
      <w:r w:rsidRPr="00D12DB4">
        <w:rPr>
          <w:rFonts w:ascii="Times New Roman" w:eastAsia="Times New Roman" w:hAnsi="Times New Roman" w:cs="Times New Roman"/>
          <w:bCs/>
          <w:sz w:val="24"/>
          <w:szCs w:val="24"/>
          <w:lang w:eastAsia="lv-LV"/>
        </w:rPr>
        <w:t>Ne visas uzraugošās iestādes ir norādījušas, ka tām būtu noteikts pienākums vai procedūra kādā sniegt atgriezenisko saiti;</w:t>
      </w:r>
    </w:p>
    <w:p w14:paraId="7D9A12C3" w14:textId="77777777" w:rsidR="005E45A1" w:rsidRPr="00D12DB4" w:rsidRDefault="005E45A1" w:rsidP="00CC2ACE">
      <w:pPr>
        <w:pStyle w:val="Sarakstarindkopa"/>
        <w:numPr>
          <w:ilvl w:val="1"/>
          <w:numId w:val="5"/>
        </w:numPr>
        <w:spacing w:before="120" w:after="120"/>
        <w:ind w:left="851" w:hanging="491"/>
        <w:jc w:val="both"/>
        <w:rPr>
          <w:rFonts w:ascii="Times New Roman" w:eastAsia="Times New Roman" w:hAnsi="Times New Roman" w:cs="Times New Roman"/>
          <w:bCs/>
          <w:sz w:val="24"/>
          <w:szCs w:val="24"/>
          <w:lang w:eastAsia="lv-LV"/>
        </w:rPr>
      </w:pPr>
      <w:r w:rsidRPr="00D12DB4">
        <w:rPr>
          <w:rFonts w:ascii="Times New Roman" w:eastAsia="Times New Roman" w:hAnsi="Times New Roman" w:cs="Times New Roman"/>
          <w:bCs/>
          <w:sz w:val="24"/>
          <w:szCs w:val="24"/>
          <w:lang w:eastAsia="lv-LV"/>
        </w:rPr>
        <w:t>Nav noteiktas kontroles un drošības prasības attiecībā uz to, vai nosūtītā un saņemtā informācija tiek izmantota tikai tiem mērķiem un to izmanto tikai tās iestādes, kam šī informācija bija paredzēta;</w:t>
      </w:r>
    </w:p>
    <w:p w14:paraId="1ACEC212" w14:textId="77777777" w:rsidR="00A54169" w:rsidRPr="00D12DB4" w:rsidRDefault="005E45A1" w:rsidP="00CC2ACE">
      <w:pPr>
        <w:pStyle w:val="Sarakstarindkopa"/>
        <w:numPr>
          <w:ilvl w:val="1"/>
          <w:numId w:val="5"/>
        </w:numPr>
        <w:spacing w:before="120" w:after="120"/>
        <w:ind w:left="851" w:hanging="491"/>
        <w:jc w:val="both"/>
        <w:rPr>
          <w:rFonts w:ascii="Times New Roman" w:eastAsia="Times New Roman" w:hAnsi="Times New Roman" w:cs="Times New Roman"/>
          <w:bCs/>
          <w:sz w:val="24"/>
          <w:szCs w:val="24"/>
          <w:lang w:eastAsia="lv-LV"/>
        </w:rPr>
      </w:pPr>
      <w:r w:rsidRPr="00D12DB4">
        <w:rPr>
          <w:rFonts w:ascii="Times New Roman" w:eastAsia="Times New Roman" w:hAnsi="Times New Roman" w:cs="Times New Roman"/>
          <w:bCs/>
          <w:sz w:val="24"/>
          <w:szCs w:val="24"/>
          <w:lang w:eastAsia="lv-LV"/>
        </w:rPr>
        <w:t>Normatīvie akti konkrēti nenosaka tiesības uzraugošajām iestādēm</w:t>
      </w:r>
      <w:r w:rsidR="00364CC1" w:rsidRPr="00D12DB4">
        <w:rPr>
          <w:rFonts w:ascii="Times New Roman" w:eastAsia="Times New Roman" w:hAnsi="Times New Roman" w:cs="Times New Roman"/>
          <w:bCs/>
          <w:sz w:val="24"/>
          <w:szCs w:val="24"/>
          <w:lang w:eastAsia="lv-LV"/>
        </w:rPr>
        <w:t xml:space="preserve"> veikt</w:t>
      </w:r>
      <w:r w:rsidRPr="00D12DB4">
        <w:rPr>
          <w:rFonts w:ascii="Times New Roman" w:eastAsia="Times New Roman" w:hAnsi="Times New Roman" w:cs="Times New Roman"/>
          <w:bCs/>
          <w:sz w:val="24"/>
          <w:szCs w:val="24"/>
          <w:lang w:eastAsia="lv-LV"/>
        </w:rPr>
        <w:t xml:space="preserve"> </w:t>
      </w:r>
      <w:r w:rsidR="002C5AB6" w:rsidRPr="00D12DB4">
        <w:rPr>
          <w:rFonts w:ascii="Times New Roman" w:eastAsia="Times New Roman" w:hAnsi="Times New Roman" w:cs="Times New Roman"/>
          <w:bCs/>
          <w:sz w:val="24"/>
          <w:szCs w:val="24"/>
          <w:lang w:eastAsia="lv-LV"/>
        </w:rPr>
        <w:t>informācijas pieprasījumus vai cita veida</w:t>
      </w:r>
      <w:r w:rsidRPr="00D12DB4">
        <w:rPr>
          <w:rFonts w:ascii="Times New Roman" w:eastAsia="Times New Roman" w:hAnsi="Times New Roman" w:cs="Times New Roman"/>
          <w:bCs/>
          <w:sz w:val="24"/>
          <w:szCs w:val="24"/>
          <w:lang w:eastAsia="lv-LV"/>
        </w:rPr>
        <w:t xml:space="preserve"> darbības ārvalstu uzraugošo iestāžu vārdā</w:t>
      </w:r>
      <w:r w:rsidR="00A54169" w:rsidRPr="00D12DB4">
        <w:rPr>
          <w:rFonts w:ascii="Times New Roman" w:eastAsia="Times New Roman" w:hAnsi="Times New Roman" w:cs="Times New Roman"/>
          <w:bCs/>
          <w:sz w:val="24"/>
          <w:szCs w:val="24"/>
          <w:lang w:eastAsia="lv-LV"/>
        </w:rPr>
        <w:t>.</w:t>
      </w:r>
    </w:p>
    <w:p w14:paraId="08F7F081" w14:textId="77777777" w:rsidR="00E62E3A" w:rsidRPr="00D12DB4" w:rsidRDefault="00E62E3A" w:rsidP="00CC2ACE">
      <w:pPr>
        <w:spacing w:before="120" w:after="120"/>
        <w:jc w:val="both"/>
        <w:rPr>
          <w:rFonts w:ascii="Times New Roman" w:eastAsia="Times New Roman" w:hAnsi="Times New Roman" w:cs="Times New Roman"/>
          <w:bCs/>
          <w:sz w:val="24"/>
          <w:szCs w:val="24"/>
          <w:lang w:eastAsia="lv-LV"/>
        </w:rPr>
      </w:pPr>
    </w:p>
    <w:p w14:paraId="2AD22EAD" w14:textId="77777777" w:rsidR="00C910F8" w:rsidRPr="00D12DB4" w:rsidRDefault="00E62E3A" w:rsidP="00B25519">
      <w:pPr>
        <w:pStyle w:val="Virsraksts1"/>
        <w:numPr>
          <w:ilvl w:val="0"/>
          <w:numId w:val="5"/>
        </w:numPr>
        <w:spacing w:before="120" w:after="120"/>
        <w:rPr>
          <w:rFonts w:ascii="Times New Roman" w:eastAsia="Times New Roman" w:hAnsi="Times New Roman" w:cs="Times New Roman"/>
          <w:b/>
          <w:color w:val="7030A0"/>
          <w:lang w:eastAsia="lv-LV"/>
        </w:rPr>
      </w:pPr>
      <w:r w:rsidRPr="00D12DB4">
        <w:rPr>
          <w:rFonts w:ascii="Times New Roman" w:eastAsia="Times New Roman" w:hAnsi="Times New Roman" w:cs="Times New Roman"/>
          <w:b/>
          <w:color w:val="7030A0"/>
          <w:lang w:eastAsia="lv-LV"/>
        </w:rPr>
        <w:t>Latvijas tiesiskais regulējums un faktiskā situācija</w:t>
      </w:r>
    </w:p>
    <w:p w14:paraId="5C5563F5" w14:textId="77777777" w:rsidR="002C5AB6" w:rsidRPr="00D12DB4" w:rsidRDefault="002C5AB6" w:rsidP="00CC2ACE">
      <w:pPr>
        <w:spacing w:before="120" w:after="120"/>
        <w:ind w:firstLine="709"/>
        <w:jc w:val="both"/>
        <w:rPr>
          <w:rFonts w:ascii="Times New Roman" w:eastAsia="Times New Roman" w:hAnsi="Times New Roman" w:cs="Times New Roman"/>
          <w:bCs/>
          <w:sz w:val="24"/>
          <w:szCs w:val="24"/>
          <w:lang w:eastAsia="lv-LV"/>
        </w:rPr>
      </w:pPr>
      <w:r w:rsidRPr="00D12DB4">
        <w:rPr>
          <w:rFonts w:ascii="Times New Roman" w:eastAsia="Times New Roman" w:hAnsi="Times New Roman" w:cs="Times New Roman"/>
          <w:bCs/>
          <w:sz w:val="24"/>
          <w:szCs w:val="24"/>
          <w:lang w:eastAsia="lv-LV"/>
        </w:rPr>
        <w:t>Izvērtējot Latvijas tiesisko regulējumu un uzraugošo iestāžu sniegto informāciju par FATF 40.</w:t>
      </w:r>
      <w:r w:rsidR="00364CC1" w:rsidRPr="00D12DB4">
        <w:rPr>
          <w:rFonts w:ascii="Times New Roman" w:eastAsia="Times New Roman" w:hAnsi="Times New Roman" w:cs="Times New Roman"/>
          <w:bCs/>
          <w:sz w:val="24"/>
          <w:szCs w:val="24"/>
          <w:lang w:eastAsia="lv-LV"/>
        </w:rPr>
        <w:t> </w:t>
      </w:r>
      <w:r w:rsidRPr="00D12DB4">
        <w:rPr>
          <w:rFonts w:ascii="Times New Roman" w:eastAsia="Times New Roman" w:hAnsi="Times New Roman" w:cs="Times New Roman"/>
          <w:bCs/>
          <w:sz w:val="24"/>
          <w:szCs w:val="24"/>
          <w:lang w:eastAsia="lv-LV"/>
        </w:rPr>
        <w:t>rekomendācijas prasību ievērošanu, var secināt, ka:</w:t>
      </w:r>
    </w:p>
    <w:p w14:paraId="52E8A849" w14:textId="77777777" w:rsidR="00E62E3A" w:rsidRPr="00D12DB4" w:rsidRDefault="00E62E3A" w:rsidP="00CC2ACE">
      <w:pPr>
        <w:pStyle w:val="Sarakstarindkopa"/>
        <w:numPr>
          <w:ilvl w:val="0"/>
          <w:numId w:val="11"/>
        </w:numPr>
        <w:spacing w:before="120" w:after="120"/>
        <w:jc w:val="both"/>
        <w:rPr>
          <w:rFonts w:ascii="Times New Roman" w:eastAsia="Times New Roman" w:hAnsi="Times New Roman" w:cs="Times New Roman"/>
          <w:bCs/>
          <w:vanish/>
          <w:sz w:val="24"/>
          <w:szCs w:val="24"/>
          <w:lang w:eastAsia="lv-LV"/>
        </w:rPr>
      </w:pPr>
    </w:p>
    <w:p w14:paraId="428CE325" w14:textId="77777777" w:rsidR="00E62E3A" w:rsidRPr="00D12DB4" w:rsidRDefault="00E62E3A" w:rsidP="00CC2ACE">
      <w:pPr>
        <w:pStyle w:val="Sarakstarindkopa"/>
        <w:numPr>
          <w:ilvl w:val="0"/>
          <w:numId w:val="11"/>
        </w:numPr>
        <w:spacing w:before="120" w:after="120"/>
        <w:jc w:val="both"/>
        <w:rPr>
          <w:rFonts w:ascii="Times New Roman" w:eastAsia="Times New Roman" w:hAnsi="Times New Roman" w:cs="Times New Roman"/>
          <w:bCs/>
          <w:vanish/>
          <w:sz w:val="24"/>
          <w:szCs w:val="24"/>
          <w:lang w:eastAsia="lv-LV"/>
        </w:rPr>
      </w:pPr>
    </w:p>
    <w:p w14:paraId="31F2C820" w14:textId="77777777" w:rsidR="0021479D" w:rsidRPr="00D12DB4" w:rsidRDefault="002C5AB6" w:rsidP="00CC2ACE">
      <w:pPr>
        <w:pStyle w:val="Sarakstarindkopa"/>
        <w:numPr>
          <w:ilvl w:val="1"/>
          <w:numId w:val="11"/>
        </w:numPr>
        <w:spacing w:before="120" w:after="120"/>
        <w:jc w:val="both"/>
        <w:rPr>
          <w:rFonts w:ascii="Times New Roman" w:eastAsia="Times New Roman" w:hAnsi="Times New Roman" w:cs="Times New Roman"/>
          <w:bCs/>
          <w:sz w:val="24"/>
          <w:szCs w:val="24"/>
          <w:lang w:eastAsia="lv-LV"/>
        </w:rPr>
      </w:pPr>
      <w:r w:rsidRPr="00D12DB4">
        <w:rPr>
          <w:rFonts w:ascii="Times New Roman" w:eastAsia="Times New Roman" w:hAnsi="Times New Roman" w:cs="Times New Roman"/>
          <w:bCs/>
          <w:sz w:val="24"/>
          <w:szCs w:val="24"/>
          <w:lang w:eastAsia="lv-LV"/>
        </w:rPr>
        <w:t>Tiesiskais p</w:t>
      </w:r>
      <w:r w:rsidR="00997BA4" w:rsidRPr="00D12DB4">
        <w:rPr>
          <w:rFonts w:ascii="Times New Roman" w:eastAsia="Times New Roman" w:hAnsi="Times New Roman" w:cs="Times New Roman"/>
          <w:bCs/>
          <w:sz w:val="24"/>
          <w:szCs w:val="24"/>
          <w:lang w:eastAsia="lv-LV"/>
        </w:rPr>
        <w:t>amats veikt starptautisko sadarbību ir NILLTFNL 46.</w:t>
      </w:r>
      <w:r w:rsidR="004C592E" w:rsidRPr="00D12DB4">
        <w:rPr>
          <w:rFonts w:ascii="Times New Roman" w:eastAsia="Times New Roman" w:hAnsi="Times New Roman" w:cs="Times New Roman"/>
          <w:bCs/>
          <w:sz w:val="24"/>
          <w:szCs w:val="24"/>
          <w:lang w:eastAsia="lv-LV"/>
        </w:rPr>
        <w:t> </w:t>
      </w:r>
      <w:r w:rsidR="00997BA4" w:rsidRPr="00D12DB4">
        <w:rPr>
          <w:rFonts w:ascii="Times New Roman" w:eastAsia="Times New Roman" w:hAnsi="Times New Roman" w:cs="Times New Roman"/>
          <w:bCs/>
          <w:sz w:val="24"/>
          <w:szCs w:val="24"/>
          <w:lang w:eastAsia="lv-LV"/>
        </w:rPr>
        <w:t>panta pirmās daļas 7. punkts</w:t>
      </w:r>
      <w:r w:rsidR="00263404" w:rsidRPr="00D12DB4">
        <w:rPr>
          <w:rFonts w:ascii="Times New Roman" w:eastAsia="Times New Roman" w:hAnsi="Times New Roman" w:cs="Times New Roman"/>
          <w:bCs/>
          <w:sz w:val="24"/>
          <w:szCs w:val="24"/>
          <w:lang w:eastAsia="lv-LV"/>
        </w:rPr>
        <w:t xml:space="preserve">, kas nosaka, ka </w:t>
      </w:r>
      <w:r w:rsidR="00263404" w:rsidRPr="00D12DB4">
        <w:rPr>
          <w:rFonts w:ascii="Times New Roman" w:eastAsia="Times New Roman" w:hAnsi="Times New Roman" w:cs="Times New Roman"/>
          <w:bCs/>
          <w:sz w:val="24"/>
          <w:szCs w:val="24"/>
          <w:u w:val="single"/>
          <w:lang w:eastAsia="lv-LV"/>
        </w:rPr>
        <w:t>pienākumu</w:t>
      </w:r>
      <w:r w:rsidR="00263404" w:rsidRPr="00D12DB4">
        <w:rPr>
          <w:rFonts w:ascii="Times New Roman" w:eastAsia="Times New Roman" w:hAnsi="Times New Roman" w:cs="Times New Roman"/>
          <w:bCs/>
          <w:sz w:val="24"/>
          <w:szCs w:val="24"/>
          <w:lang w:eastAsia="lv-LV"/>
        </w:rPr>
        <w:t xml:space="preserve"> uzraugošajām iestādēm </w:t>
      </w:r>
      <w:r w:rsidR="00263404" w:rsidRPr="00D12DB4">
        <w:rPr>
          <w:rFonts w:ascii="Times New Roman" w:eastAsia="Times New Roman" w:hAnsi="Times New Roman" w:cs="Times New Roman"/>
          <w:bCs/>
          <w:sz w:val="24"/>
          <w:szCs w:val="24"/>
          <w:u w:val="single"/>
          <w:lang w:eastAsia="lv-LV"/>
        </w:rPr>
        <w:t>pēc savas iniciatīvas vai atbilstoši lūgumam</w:t>
      </w:r>
      <w:r w:rsidR="00263404" w:rsidRPr="00D12DB4">
        <w:rPr>
          <w:rFonts w:ascii="Times New Roman" w:eastAsia="Times New Roman" w:hAnsi="Times New Roman" w:cs="Times New Roman"/>
          <w:bCs/>
          <w:sz w:val="24"/>
          <w:szCs w:val="24"/>
          <w:lang w:eastAsia="lv-LV"/>
        </w:rPr>
        <w:t xml:space="preserve"> veikt informācijas apmaiņu ar ārvalstu iestādēm, kuru pienākumi pēc būtības ir līdzīgi, ja tiek nodrošināta datu konfidencialitāte un to izmantošana ir iespējama vienīgi savstarpēji saskaņotiem mērķiem</w:t>
      </w:r>
      <w:r w:rsidR="00997BA4" w:rsidRPr="00D12DB4">
        <w:rPr>
          <w:rFonts w:ascii="Times New Roman" w:eastAsia="Times New Roman" w:hAnsi="Times New Roman" w:cs="Times New Roman"/>
          <w:bCs/>
          <w:sz w:val="24"/>
          <w:szCs w:val="24"/>
          <w:lang w:eastAsia="lv-LV"/>
        </w:rPr>
        <w:t xml:space="preserve">. </w:t>
      </w:r>
      <w:r w:rsidR="004C592E" w:rsidRPr="00D12DB4">
        <w:rPr>
          <w:rFonts w:ascii="Times New Roman" w:eastAsia="Times New Roman" w:hAnsi="Times New Roman" w:cs="Times New Roman"/>
          <w:bCs/>
          <w:sz w:val="24"/>
          <w:szCs w:val="24"/>
          <w:lang w:eastAsia="lv-LV"/>
        </w:rPr>
        <w:t xml:space="preserve"> </w:t>
      </w:r>
      <w:r w:rsidR="00263404" w:rsidRPr="00D12DB4">
        <w:rPr>
          <w:rFonts w:ascii="Times New Roman" w:eastAsia="Times New Roman" w:hAnsi="Times New Roman" w:cs="Times New Roman"/>
          <w:bCs/>
          <w:sz w:val="24"/>
          <w:szCs w:val="24"/>
          <w:lang w:eastAsia="lv-LV"/>
        </w:rPr>
        <w:t xml:space="preserve">Minētā tiesību norma skaidri nenosaka, ka šis pienākums ir izpildāms nekavējoties (ātri). </w:t>
      </w:r>
    </w:p>
    <w:p w14:paraId="49F44A9E" w14:textId="77777777" w:rsidR="00B25519" w:rsidRPr="00D12DB4" w:rsidRDefault="00B25519" w:rsidP="00B25519">
      <w:pPr>
        <w:pStyle w:val="Sarakstarindkopa"/>
        <w:spacing w:before="120" w:after="120"/>
        <w:ind w:left="792"/>
        <w:jc w:val="both"/>
        <w:rPr>
          <w:rFonts w:ascii="Times New Roman" w:eastAsia="Times New Roman" w:hAnsi="Times New Roman" w:cs="Times New Roman"/>
          <w:bCs/>
          <w:sz w:val="24"/>
          <w:szCs w:val="24"/>
          <w:lang w:eastAsia="lv-LV"/>
        </w:rPr>
      </w:pPr>
    </w:p>
    <w:p w14:paraId="3BDF64D1" w14:textId="53B56EFF" w:rsidR="004875BA" w:rsidRPr="00D12DB4" w:rsidRDefault="004D17AB" w:rsidP="00CC2ACE">
      <w:pPr>
        <w:pStyle w:val="Sarakstarindkopa"/>
        <w:numPr>
          <w:ilvl w:val="1"/>
          <w:numId w:val="11"/>
        </w:numPr>
        <w:spacing w:before="120" w:after="120"/>
        <w:jc w:val="both"/>
        <w:rPr>
          <w:rFonts w:ascii="Times New Roman" w:eastAsia="Times New Roman" w:hAnsi="Times New Roman" w:cs="Times New Roman"/>
          <w:bCs/>
          <w:sz w:val="24"/>
          <w:szCs w:val="24"/>
          <w:lang w:eastAsia="lv-LV"/>
        </w:rPr>
      </w:pPr>
      <w:r w:rsidRPr="00D12DB4">
        <w:rPr>
          <w:rFonts w:ascii="Times New Roman" w:eastAsia="Times New Roman" w:hAnsi="Times New Roman" w:cs="Times New Roman"/>
          <w:bCs/>
          <w:sz w:val="24"/>
          <w:szCs w:val="24"/>
          <w:lang w:eastAsia="lv-LV"/>
        </w:rPr>
        <w:t>Attiecībā uz prasību s</w:t>
      </w:r>
      <w:r w:rsidR="00FD54B9" w:rsidRPr="00D12DB4">
        <w:rPr>
          <w:rFonts w:ascii="Times New Roman" w:eastAsia="Times New Roman" w:hAnsi="Times New Roman" w:cs="Times New Roman"/>
          <w:bCs/>
          <w:sz w:val="24"/>
          <w:szCs w:val="24"/>
          <w:lang w:eastAsia="lv-LV"/>
        </w:rPr>
        <w:t>tarptautiskajā informācijas apmaiņā izmanto</w:t>
      </w:r>
      <w:r w:rsidR="00263404" w:rsidRPr="00D12DB4">
        <w:rPr>
          <w:rFonts w:ascii="Times New Roman" w:eastAsia="Times New Roman" w:hAnsi="Times New Roman" w:cs="Times New Roman"/>
          <w:bCs/>
          <w:sz w:val="24"/>
          <w:szCs w:val="24"/>
          <w:lang w:eastAsia="lv-LV"/>
        </w:rPr>
        <w:t>t</w:t>
      </w:r>
      <w:r w:rsidR="00FD54B9" w:rsidRPr="00D12DB4">
        <w:rPr>
          <w:rFonts w:ascii="Times New Roman" w:eastAsia="Times New Roman" w:hAnsi="Times New Roman" w:cs="Times New Roman"/>
          <w:bCs/>
          <w:sz w:val="24"/>
          <w:szCs w:val="24"/>
          <w:lang w:eastAsia="lv-LV"/>
        </w:rPr>
        <w:t xml:space="preserve"> skaidrus un drošus mehānismus un kanālus, ar kuru palīdzību saņemt un nosūtīt starptautiskās palīdzības lūgumus</w:t>
      </w:r>
      <w:r w:rsidRPr="00D12DB4">
        <w:rPr>
          <w:rFonts w:ascii="Times New Roman" w:eastAsia="Times New Roman" w:hAnsi="Times New Roman" w:cs="Times New Roman"/>
          <w:bCs/>
          <w:sz w:val="24"/>
          <w:szCs w:val="24"/>
          <w:lang w:eastAsia="lv-LV"/>
        </w:rPr>
        <w:t xml:space="preserve"> jāsecina, ka ne visas uzraugošās iestādes tādus ir nodrošinājušas. </w:t>
      </w:r>
      <w:r w:rsidR="00D861A1" w:rsidRPr="00D12DB4">
        <w:rPr>
          <w:rFonts w:ascii="Times New Roman" w:eastAsia="Times New Roman" w:hAnsi="Times New Roman" w:cs="Times New Roman"/>
          <w:bCs/>
          <w:sz w:val="24"/>
          <w:szCs w:val="24"/>
          <w:lang w:eastAsia="lv-LV"/>
        </w:rPr>
        <w:t xml:space="preserve">Noziedzīgi iegūtu līdzekļu legalizācijas novēršanas dienests (turpmāk – </w:t>
      </w:r>
      <w:r w:rsidR="00FD54B9" w:rsidRPr="00D12DB4">
        <w:rPr>
          <w:rFonts w:ascii="Times New Roman" w:eastAsia="Times New Roman" w:hAnsi="Times New Roman" w:cs="Times New Roman"/>
          <w:bCs/>
          <w:sz w:val="24"/>
          <w:szCs w:val="24"/>
          <w:lang w:eastAsia="lv-LV"/>
        </w:rPr>
        <w:t>KD</w:t>
      </w:r>
      <w:r w:rsidR="00D861A1" w:rsidRPr="00D12DB4">
        <w:rPr>
          <w:rFonts w:ascii="Times New Roman" w:eastAsia="Times New Roman" w:hAnsi="Times New Roman" w:cs="Times New Roman"/>
          <w:bCs/>
          <w:sz w:val="24"/>
          <w:szCs w:val="24"/>
          <w:lang w:eastAsia="lv-LV"/>
        </w:rPr>
        <w:t>)</w:t>
      </w:r>
      <w:r w:rsidR="00FD54B9" w:rsidRPr="00D12DB4">
        <w:rPr>
          <w:rFonts w:ascii="Times New Roman" w:eastAsia="Times New Roman" w:hAnsi="Times New Roman" w:cs="Times New Roman"/>
          <w:bCs/>
          <w:sz w:val="24"/>
          <w:szCs w:val="24"/>
          <w:lang w:eastAsia="lv-LV"/>
        </w:rPr>
        <w:t xml:space="preserve"> un tiesībaizsardzības </w:t>
      </w:r>
      <w:r w:rsidR="00FD54B9" w:rsidRPr="00D12DB4">
        <w:rPr>
          <w:rFonts w:ascii="Times New Roman" w:eastAsia="Times New Roman" w:hAnsi="Times New Roman" w:cs="Times New Roman"/>
          <w:bCs/>
          <w:sz w:val="24"/>
          <w:szCs w:val="24"/>
          <w:lang w:eastAsia="lv-LV"/>
        </w:rPr>
        <w:lastRenderedPageBreak/>
        <w:t xml:space="preserve">iestādes jau šobrīd izmanto drošus kanālus starptautiskās palīdzības lūgumu nosūtīšanai un saņemšanai, Latvijas Banka </w:t>
      </w:r>
      <w:r w:rsidR="0006510F" w:rsidRPr="00D12DB4">
        <w:rPr>
          <w:rFonts w:ascii="Times New Roman" w:eastAsia="Times New Roman" w:hAnsi="Times New Roman" w:cs="Times New Roman"/>
          <w:bCs/>
          <w:sz w:val="24"/>
          <w:szCs w:val="24"/>
          <w:lang w:eastAsia="lv-LV"/>
        </w:rPr>
        <w:t>izmanto</w:t>
      </w:r>
      <w:r w:rsidR="00FD54B9" w:rsidRPr="00D12DB4">
        <w:rPr>
          <w:rFonts w:ascii="Times New Roman" w:eastAsia="Times New Roman" w:hAnsi="Times New Roman" w:cs="Times New Roman"/>
          <w:bCs/>
          <w:sz w:val="24"/>
          <w:szCs w:val="24"/>
          <w:lang w:eastAsia="lv-LV"/>
        </w:rPr>
        <w:t xml:space="preserve"> </w:t>
      </w:r>
      <w:r w:rsidR="0006510F" w:rsidRPr="00D12DB4">
        <w:rPr>
          <w:rFonts w:ascii="Times New Roman" w:eastAsia="Times New Roman" w:hAnsi="Times New Roman" w:cs="Times New Roman"/>
          <w:bCs/>
          <w:sz w:val="24"/>
          <w:szCs w:val="24"/>
          <w:lang w:eastAsia="lv-LV"/>
        </w:rPr>
        <w:t xml:space="preserve">skaidrus </w:t>
      </w:r>
      <w:r w:rsidR="00FD54B9" w:rsidRPr="00D12DB4">
        <w:rPr>
          <w:rFonts w:ascii="Times New Roman" w:eastAsia="Times New Roman" w:hAnsi="Times New Roman" w:cs="Times New Roman"/>
          <w:bCs/>
          <w:sz w:val="24"/>
          <w:szCs w:val="24"/>
          <w:lang w:eastAsia="lv-LV"/>
        </w:rPr>
        <w:t xml:space="preserve">un </w:t>
      </w:r>
      <w:r w:rsidR="0006510F" w:rsidRPr="00D12DB4">
        <w:rPr>
          <w:rFonts w:ascii="Times New Roman" w:eastAsia="Times New Roman" w:hAnsi="Times New Roman" w:cs="Times New Roman"/>
          <w:bCs/>
          <w:sz w:val="24"/>
          <w:szCs w:val="24"/>
          <w:lang w:eastAsia="lv-LV"/>
        </w:rPr>
        <w:t xml:space="preserve">drošus </w:t>
      </w:r>
      <w:r w:rsidR="00FD54B9" w:rsidRPr="00D12DB4">
        <w:rPr>
          <w:rFonts w:ascii="Times New Roman" w:eastAsia="Times New Roman" w:hAnsi="Times New Roman" w:cs="Times New Roman"/>
          <w:bCs/>
          <w:sz w:val="24"/>
          <w:szCs w:val="24"/>
          <w:lang w:eastAsia="lv-LV"/>
        </w:rPr>
        <w:t xml:space="preserve">sadarbības </w:t>
      </w:r>
      <w:r w:rsidR="0006510F" w:rsidRPr="00D12DB4">
        <w:rPr>
          <w:rFonts w:ascii="Times New Roman" w:eastAsia="Times New Roman" w:hAnsi="Times New Roman" w:cs="Times New Roman"/>
          <w:bCs/>
          <w:sz w:val="24"/>
          <w:szCs w:val="24"/>
          <w:lang w:eastAsia="lv-LV"/>
        </w:rPr>
        <w:t xml:space="preserve">mehānismus </w:t>
      </w:r>
      <w:r w:rsidR="00FD54B9" w:rsidRPr="00D12DB4">
        <w:rPr>
          <w:rFonts w:ascii="Times New Roman" w:eastAsia="Times New Roman" w:hAnsi="Times New Roman" w:cs="Times New Roman"/>
          <w:bCs/>
          <w:sz w:val="24"/>
          <w:szCs w:val="24"/>
          <w:lang w:eastAsia="lv-LV"/>
        </w:rPr>
        <w:t xml:space="preserve">ar Eiropas Centrālo banku un citām ES dalībvalstu centrālajām bankām un finanšu iestādēm, taču ar citām uzraugošajām iestādēm nav konkrēti noteiktu un skaidru sadarbības mehānismu un kanālu, </w:t>
      </w:r>
      <w:r w:rsidR="00FD54B9" w:rsidRPr="00C34C35">
        <w:rPr>
          <w:rFonts w:ascii="Times New Roman" w:eastAsia="Times New Roman" w:hAnsi="Times New Roman" w:cs="Times New Roman"/>
          <w:bCs/>
          <w:sz w:val="24"/>
          <w:szCs w:val="24"/>
          <w:lang w:eastAsia="lv-LV"/>
        </w:rPr>
        <w:t>Finanšu un kapitāla tirgus komisija (turpmāk – FKTK) sta</w:t>
      </w:r>
      <w:r w:rsidR="00CC2ACE" w:rsidRPr="00C34C35">
        <w:rPr>
          <w:rFonts w:ascii="Times New Roman" w:eastAsia="Times New Roman" w:hAnsi="Times New Roman" w:cs="Times New Roman"/>
          <w:bCs/>
          <w:sz w:val="24"/>
          <w:szCs w:val="24"/>
          <w:lang w:eastAsia="lv-LV"/>
        </w:rPr>
        <w:t>rptautiskās</w:t>
      </w:r>
      <w:r w:rsidR="009C2F1A" w:rsidRPr="00C34C35">
        <w:rPr>
          <w:rFonts w:ascii="Times New Roman" w:eastAsia="Times New Roman" w:hAnsi="Times New Roman" w:cs="Times New Roman"/>
          <w:bCs/>
          <w:sz w:val="24"/>
          <w:szCs w:val="24"/>
          <w:lang w:eastAsia="lv-LV"/>
        </w:rPr>
        <w:t xml:space="preserve"> palīdzības lūgumus </w:t>
      </w:r>
      <w:proofErr w:type="spellStart"/>
      <w:r w:rsidR="009C2F1A" w:rsidRPr="00C34C35">
        <w:rPr>
          <w:rFonts w:ascii="Times New Roman" w:eastAsia="Times New Roman" w:hAnsi="Times New Roman" w:cs="Times New Roman"/>
          <w:bCs/>
          <w:sz w:val="24"/>
          <w:szCs w:val="24"/>
          <w:lang w:eastAsia="lv-LV"/>
        </w:rPr>
        <w:t>nosūta</w:t>
      </w:r>
      <w:proofErr w:type="spellEnd"/>
      <w:r w:rsidR="00FD54B9" w:rsidRPr="00C34C35">
        <w:rPr>
          <w:rFonts w:ascii="Times New Roman" w:eastAsia="Times New Roman" w:hAnsi="Times New Roman" w:cs="Times New Roman"/>
          <w:bCs/>
          <w:sz w:val="24"/>
          <w:szCs w:val="24"/>
          <w:lang w:eastAsia="lv-LV"/>
        </w:rPr>
        <w:t xml:space="preserve"> ievērojot stingras drošības procedūras, tajā skaitā datu šifrēšanu.</w:t>
      </w:r>
      <w:r w:rsidR="00FD54B9" w:rsidRPr="00D12DB4">
        <w:rPr>
          <w:rFonts w:ascii="Times New Roman" w:eastAsia="Times New Roman" w:hAnsi="Times New Roman" w:cs="Times New Roman"/>
          <w:bCs/>
          <w:sz w:val="24"/>
          <w:szCs w:val="24"/>
          <w:lang w:eastAsia="lv-LV"/>
        </w:rPr>
        <w:t xml:space="preserve"> Cit</w:t>
      </w:r>
      <w:r w:rsidR="0006510F" w:rsidRPr="00D12DB4">
        <w:rPr>
          <w:rFonts w:ascii="Times New Roman" w:eastAsia="Times New Roman" w:hAnsi="Times New Roman" w:cs="Times New Roman"/>
          <w:bCs/>
          <w:sz w:val="24"/>
          <w:szCs w:val="24"/>
          <w:lang w:eastAsia="lv-LV"/>
        </w:rPr>
        <w:t>ām</w:t>
      </w:r>
      <w:r w:rsidR="00FD54B9" w:rsidRPr="00D12DB4">
        <w:rPr>
          <w:rFonts w:ascii="Times New Roman" w:eastAsia="Times New Roman" w:hAnsi="Times New Roman" w:cs="Times New Roman"/>
          <w:bCs/>
          <w:sz w:val="24"/>
          <w:szCs w:val="24"/>
          <w:lang w:eastAsia="lv-LV"/>
        </w:rPr>
        <w:t xml:space="preserve"> </w:t>
      </w:r>
      <w:r w:rsidR="0006510F" w:rsidRPr="00D12DB4">
        <w:rPr>
          <w:rFonts w:ascii="Times New Roman" w:eastAsia="Times New Roman" w:hAnsi="Times New Roman" w:cs="Times New Roman"/>
          <w:bCs/>
          <w:sz w:val="24"/>
          <w:szCs w:val="24"/>
          <w:lang w:eastAsia="lv-LV"/>
        </w:rPr>
        <w:t xml:space="preserve">uzraugošajām iestādēm </w:t>
      </w:r>
      <w:r w:rsidR="00FD54B9" w:rsidRPr="00D12DB4">
        <w:rPr>
          <w:rFonts w:ascii="Times New Roman" w:eastAsia="Times New Roman" w:hAnsi="Times New Roman" w:cs="Times New Roman"/>
          <w:bCs/>
          <w:sz w:val="24"/>
          <w:szCs w:val="24"/>
          <w:lang w:eastAsia="lv-LV"/>
        </w:rPr>
        <w:t>nav zināmi vai pieejami skaidri un droši mehānismi un kanāli, ar kuru palīdzību saņemt un nosūtīt starptautiskās p</w:t>
      </w:r>
      <w:r w:rsidR="00B25519" w:rsidRPr="00D12DB4">
        <w:rPr>
          <w:rFonts w:ascii="Times New Roman" w:eastAsia="Times New Roman" w:hAnsi="Times New Roman" w:cs="Times New Roman"/>
          <w:bCs/>
          <w:sz w:val="24"/>
          <w:szCs w:val="24"/>
          <w:lang w:eastAsia="lv-LV"/>
        </w:rPr>
        <w:t>alīdzības lūgumus.</w:t>
      </w:r>
    </w:p>
    <w:p w14:paraId="042B8277" w14:textId="77777777" w:rsidR="00B25519" w:rsidRPr="00D12DB4" w:rsidRDefault="00B25519" w:rsidP="00B25519">
      <w:pPr>
        <w:pStyle w:val="Sarakstarindkopa"/>
        <w:spacing w:before="120" w:after="120"/>
        <w:ind w:left="792"/>
        <w:jc w:val="both"/>
        <w:rPr>
          <w:rFonts w:ascii="Times New Roman" w:eastAsia="Times New Roman" w:hAnsi="Times New Roman" w:cs="Times New Roman"/>
          <w:bCs/>
          <w:sz w:val="24"/>
          <w:szCs w:val="24"/>
          <w:lang w:eastAsia="lv-LV"/>
        </w:rPr>
      </w:pPr>
    </w:p>
    <w:p w14:paraId="1438CF39" w14:textId="77777777" w:rsidR="00B25519" w:rsidRPr="00D12DB4" w:rsidRDefault="00FD54B9" w:rsidP="00B25519">
      <w:pPr>
        <w:pStyle w:val="Sarakstarindkopa"/>
        <w:numPr>
          <w:ilvl w:val="1"/>
          <w:numId w:val="11"/>
        </w:numPr>
        <w:spacing w:before="120" w:after="120"/>
        <w:jc w:val="both"/>
        <w:rPr>
          <w:rFonts w:ascii="Times New Roman" w:eastAsia="Times New Roman" w:hAnsi="Times New Roman" w:cs="Times New Roman"/>
          <w:bCs/>
          <w:sz w:val="24"/>
          <w:szCs w:val="24"/>
          <w:lang w:eastAsia="lv-LV"/>
        </w:rPr>
      </w:pPr>
      <w:r w:rsidRPr="00D12DB4">
        <w:rPr>
          <w:rFonts w:ascii="Times New Roman" w:eastAsia="Times New Roman" w:hAnsi="Times New Roman" w:cs="Times New Roman"/>
          <w:bCs/>
          <w:sz w:val="24"/>
          <w:szCs w:val="24"/>
          <w:lang w:eastAsia="lv-LV"/>
        </w:rPr>
        <w:t xml:space="preserve">Normatīvie akti nenosaka starptautiskās palīdzības lūgumu </w:t>
      </w:r>
      <w:proofErr w:type="spellStart"/>
      <w:r w:rsidR="00EC1043" w:rsidRPr="00D12DB4">
        <w:rPr>
          <w:rFonts w:ascii="Times New Roman" w:eastAsia="Times New Roman" w:hAnsi="Times New Roman" w:cs="Times New Roman"/>
          <w:bCs/>
          <w:sz w:val="24"/>
          <w:szCs w:val="24"/>
          <w:lang w:eastAsia="lv-LV"/>
        </w:rPr>
        <w:t>prioritizācijas</w:t>
      </w:r>
      <w:proofErr w:type="spellEnd"/>
      <w:r w:rsidRPr="00D12DB4">
        <w:rPr>
          <w:rFonts w:ascii="Times New Roman" w:eastAsia="Times New Roman" w:hAnsi="Times New Roman" w:cs="Times New Roman"/>
          <w:bCs/>
          <w:sz w:val="24"/>
          <w:szCs w:val="24"/>
          <w:lang w:eastAsia="lv-LV"/>
        </w:rPr>
        <w:t xml:space="preserve"> procesu. Normatīvajos aktos nav noteikts </w:t>
      </w:r>
      <w:proofErr w:type="spellStart"/>
      <w:r w:rsidR="00EC1043" w:rsidRPr="00D12DB4">
        <w:rPr>
          <w:rFonts w:ascii="Times New Roman" w:eastAsia="Times New Roman" w:hAnsi="Times New Roman" w:cs="Times New Roman"/>
          <w:bCs/>
          <w:sz w:val="24"/>
          <w:szCs w:val="24"/>
          <w:lang w:eastAsia="lv-LV"/>
        </w:rPr>
        <w:t>prioritizācijas</w:t>
      </w:r>
      <w:proofErr w:type="spellEnd"/>
      <w:r w:rsidRPr="00D12DB4">
        <w:rPr>
          <w:rFonts w:ascii="Times New Roman" w:eastAsia="Times New Roman" w:hAnsi="Times New Roman" w:cs="Times New Roman"/>
          <w:bCs/>
          <w:sz w:val="24"/>
          <w:szCs w:val="24"/>
          <w:lang w:eastAsia="lv-LV"/>
        </w:rPr>
        <w:t xml:space="preserve"> pienākums, kritēriji vai termiņi, kādā būtu jāapstrādā starptautis</w:t>
      </w:r>
      <w:r w:rsidR="00CC2ACE" w:rsidRPr="00D12DB4">
        <w:rPr>
          <w:rFonts w:ascii="Times New Roman" w:eastAsia="Times New Roman" w:hAnsi="Times New Roman" w:cs="Times New Roman"/>
          <w:bCs/>
          <w:sz w:val="24"/>
          <w:szCs w:val="24"/>
          <w:lang w:eastAsia="lv-LV"/>
        </w:rPr>
        <w:t>kās palīdzības pieprasījumi. KD</w:t>
      </w:r>
      <w:r w:rsidR="002B3C6D" w:rsidRPr="00D12DB4">
        <w:rPr>
          <w:rFonts w:ascii="Times New Roman" w:eastAsia="Times New Roman" w:hAnsi="Times New Roman" w:cs="Times New Roman"/>
          <w:bCs/>
          <w:sz w:val="24"/>
          <w:szCs w:val="24"/>
          <w:lang w:eastAsia="lv-LV"/>
        </w:rPr>
        <w:t xml:space="preserve"> praksē prioritāti nosaka</w:t>
      </w:r>
      <w:r w:rsidR="0006510F" w:rsidRPr="00D12DB4" w:rsidDel="0006510F">
        <w:rPr>
          <w:rFonts w:ascii="Times New Roman" w:eastAsia="Times New Roman" w:hAnsi="Times New Roman" w:cs="Times New Roman"/>
          <w:bCs/>
          <w:sz w:val="24"/>
          <w:szCs w:val="24"/>
          <w:lang w:eastAsia="lv-LV"/>
        </w:rPr>
        <w:t xml:space="preserve"> </w:t>
      </w:r>
      <w:r w:rsidRPr="00D12DB4">
        <w:rPr>
          <w:rFonts w:ascii="Times New Roman" w:eastAsia="Times New Roman" w:hAnsi="Times New Roman" w:cs="Times New Roman"/>
          <w:bCs/>
          <w:sz w:val="24"/>
          <w:szCs w:val="24"/>
          <w:lang w:eastAsia="lv-LV"/>
        </w:rPr>
        <w:t xml:space="preserve">lūgumiem, kas attiecas uz terorisma finansēšanu, neatliekamu līdzekļu iesaldēšanu un citiem steidzamiem lūgumiem. </w:t>
      </w:r>
      <w:r w:rsidR="002B3C6D" w:rsidRPr="00D12DB4">
        <w:rPr>
          <w:rFonts w:ascii="Times New Roman" w:eastAsia="Times New Roman" w:hAnsi="Times New Roman" w:cs="Times New Roman"/>
          <w:bCs/>
          <w:sz w:val="24"/>
          <w:szCs w:val="24"/>
          <w:lang w:eastAsia="lv-LV"/>
        </w:rPr>
        <w:t xml:space="preserve">Savukārt </w:t>
      </w:r>
      <w:r w:rsidR="0006510F" w:rsidRPr="00D12DB4">
        <w:rPr>
          <w:rFonts w:ascii="Times New Roman" w:eastAsia="Times New Roman" w:hAnsi="Times New Roman" w:cs="Times New Roman"/>
          <w:bCs/>
          <w:sz w:val="24"/>
          <w:szCs w:val="24"/>
          <w:lang w:eastAsia="lv-LV"/>
        </w:rPr>
        <w:t>uzraugošajām iestādēm</w:t>
      </w:r>
      <w:r w:rsidRPr="00D12DB4">
        <w:rPr>
          <w:rFonts w:ascii="Times New Roman" w:eastAsia="Times New Roman" w:hAnsi="Times New Roman" w:cs="Times New Roman"/>
          <w:bCs/>
          <w:sz w:val="24"/>
          <w:szCs w:val="24"/>
          <w:lang w:eastAsia="lv-LV"/>
        </w:rPr>
        <w:t xml:space="preserve"> nav noteikti </w:t>
      </w:r>
      <w:proofErr w:type="spellStart"/>
      <w:r w:rsidRPr="00D12DB4">
        <w:rPr>
          <w:rFonts w:ascii="Times New Roman" w:eastAsia="Times New Roman" w:hAnsi="Times New Roman" w:cs="Times New Roman"/>
          <w:bCs/>
          <w:sz w:val="24"/>
          <w:szCs w:val="24"/>
          <w:lang w:eastAsia="lv-LV"/>
        </w:rPr>
        <w:t>pr</w:t>
      </w:r>
      <w:r w:rsidR="004875BA" w:rsidRPr="00D12DB4">
        <w:rPr>
          <w:rFonts w:ascii="Times New Roman" w:eastAsia="Times New Roman" w:hAnsi="Times New Roman" w:cs="Times New Roman"/>
          <w:bCs/>
          <w:sz w:val="24"/>
          <w:szCs w:val="24"/>
          <w:lang w:eastAsia="lv-LV"/>
        </w:rPr>
        <w:t>i</w:t>
      </w:r>
      <w:r w:rsidRPr="00D12DB4">
        <w:rPr>
          <w:rFonts w:ascii="Times New Roman" w:eastAsia="Times New Roman" w:hAnsi="Times New Roman" w:cs="Times New Roman"/>
          <w:bCs/>
          <w:sz w:val="24"/>
          <w:szCs w:val="24"/>
          <w:lang w:eastAsia="lv-LV"/>
        </w:rPr>
        <w:t>oritiz</w:t>
      </w:r>
      <w:r w:rsidR="00EC1043" w:rsidRPr="00D12DB4">
        <w:rPr>
          <w:rFonts w:ascii="Times New Roman" w:eastAsia="Times New Roman" w:hAnsi="Times New Roman" w:cs="Times New Roman"/>
          <w:bCs/>
          <w:sz w:val="24"/>
          <w:szCs w:val="24"/>
          <w:lang w:eastAsia="lv-LV"/>
        </w:rPr>
        <w:t>āc</w:t>
      </w:r>
      <w:r w:rsidR="004875BA" w:rsidRPr="00D12DB4">
        <w:rPr>
          <w:rFonts w:ascii="Times New Roman" w:eastAsia="Times New Roman" w:hAnsi="Times New Roman" w:cs="Times New Roman"/>
          <w:bCs/>
          <w:sz w:val="24"/>
          <w:szCs w:val="24"/>
          <w:lang w:eastAsia="lv-LV"/>
        </w:rPr>
        <w:t>i</w:t>
      </w:r>
      <w:r w:rsidR="00EC1043" w:rsidRPr="00D12DB4">
        <w:rPr>
          <w:rFonts w:ascii="Times New Roman" w:eastAsia="Times New Roman" w:hAnsi="Times New Roman" w:cs="Times New Roman"/>
          <w:bCs/>
          <w:sz w:val="24"/>
          <w:szCs w:val="24"/>
          <w:lang w:eastAsia="lv-LV"/>
        </w:rPr>
        <w:t>jas</w:t>
      </w:r>
      <w:proofErr w:type="spellEnd"/>
      <w:r w:rsidR="00EC1043" w:rsidRPr="00D12DB4">
        <w:rPr>
          <w:rFonts w:ascii="Times New Roman" w:eastAsia="Times New Roman" w:hAnsi="Times New Roman" w:cs="Times New Roman"/>
          <w:bCs/>
          <w:sz w:val="24"/>
          <w:szCs w:val="24"/>
          <w:lang w:eastAsia="lv-LV"/>
        </w:rPr>
        <w:t xml:space="preserve"> </w:t>
      </w:r>
      <w:r w:rsidRPr="00D12DB4">
        <w:rPr>
          <w:rFonts w:ascii="Times New Roman" w:eastAsia="Times New Roman" w:hAnsi="Times New Roman" w:cs="Times New Roman"/>
          <w:bCs/>
          <w:sz w:val="24"/>
          <w:szCs w:val="24"/>
          <w:lang w:eastAsia="lv-LV"/>
        </w:rPr>
        <w:t>kritēriji.</w:t>
      </w:r>
      <w:r w:rsidR="00EC1043" w:rsidRPr="00D12DB4">
        <w:rPr>
          <w:rFonts w:ascii="Times New Roman" w:eastAsia="Times New Roman" w:hAnsi="Times New Roman" w:cs="Times New Roman"/>
          <w:bCs/>
          <w:sz w:val="24"/>
          <w:szCs w:val="24"/>
          <w:lang w:eastAsia="lv-LV"/>
        </w:rPr>
        <w:t xml:space="preserve"> </w:t>
      </w:r>
      <w:r w:rsidR="0006510F" w:rsidRPr="00D12DB4">
        <w:rPr>
          <w:rFonts w:ascii="Times New Roman" w:eastAsia="Times New Roman" w:hAnsi="Times New Roman" w:cs="Times New Roman"/>
          <w:bCs/>
          <w:sz w:val="24"/>
          <w:szCs w:val="24"/>
          <w:lang w:eastAsia="lv-LV"/>
        </w:rPr>
        <w:t xml:space="preserve"> </w:t>
      </w:r>
    </w:p>
    <w:p w14:paraId="627275D4" w14:textId="77777777" w:rsidR="00B25519" w:rsidRPr="00D12DB4" w:rsidRDefault="00B25519" w:rsidP="00B25519">
      <w:pPr>
        <w:pStyle w:val="Sarakstarindkopa"/>
        <w:spacing w:before="120" w:after="120"/>
        <w:ind w:left="792"/>
        <w:jc w:val="both"/>
        <w:rPr>
          <w:rFonts w:ascii="Times New Roman" w:eastAsia="Times New Roman" w:hAnsi="Times New Roman" w:cs="Times New Roman"/>
          <w:bCs/>
          <w:sz w:val="24"/>
          <w:szCs w:val="24"/>
          <w:lang w:eastAsia="lv-LV"/>
        </w:rPr>
      </w:pPr>
    </w:p>
    <w:p w14:paraId="5C1F21BA" w14:textId="72701B74" w:rsidR="00B25519" w:rsidRPr="00D12DB4" w:rsidRDefault="00EC1043" w:rsidP="00B25519">
      <w:pPr>
        <w:pStyle w:val="Sarakstarindkopa"/>
        <w:numPr>
          <w:ilvl w:val="1"/>
          <w:numId w:val="11"/>
        </w:numPr>
        <w:spacing w:before="120" w:after="120"/>
        <w:jc w:val="both"/>
        <w:rPr>
          <w:rFonts w:ascii="Times New Roman" w:eastAsia="Times New Roman" w:hAnsi="Times New Roman" w:cs="Times New Roman"/>
          <w:bCs/>
          <w:sz w:val="24"/>
          <w:szCs w:val="24"/>
          <w:lang w:eastAsia="lv-LV"/>
        </w:rPr>
      </w:pPr>
      <w:r w:rsidRPr="00D12DB4">
        <w:rPr>
          <w:rFonts w:ascii="Times New Roman" w:hAnsi="Times New Roman" w:cs="Times New Roman"/>
          <w:sz w:val="24"/>
          <w:szCs w:val="24"/>
        </w:rPr>
        <w:t xml:space="preserve">Normatīvie akti neparedz nekādus ierobežojumus atgriezeniskās saites sniegšanai ārvalstu sadarbības partneriem, taču </w:t>
      </w:r>
      <w:r w:rsidR="0006510F" w:rsidRPr="00D12DB4">
        <w:rPr>
          <w:rFonts w:ascii="Times New Roman" w:hAnsi="Times New Roman" w:cs="Times New Roman"/>
          <w:sz w:val="24"/>
          <w:szCs w:val="24"/>
        </w:rPr>
        <w:t>uzraugošā</w:t>
      </w:r>
      <w:r w:rsidR="002B3C6D" w:rsidRPr="00D12DB4">
        <w:rPr>
          <w:rFonts w:ascii="Times New Roman" w:hAnsi="Times New Roman" w:cs="Times New Roman"/>
          <w:sz w:val="24"/>
          <w:szCs w:val="24"/>
        </w:rPr>
        <w:t>s</w:t>
      </w:r>
      <w:r w:rsidR="0006510F" w:rsidRPr="00D12DB4">
        <w:rPr>
          <w:rFonts w:ascii="Times New Roman" w:hAnsi="Times New Roman" w:cs="Times New Roman"/>
          <w:sz w:val="24"/>
          <w:szCs w:val="24"/>
        </w:rPr>
        <w:t xml:space="preserve"> iestād</w:t>
      </w:r>
      <w:r w:rsidR="002B3C6D" w:rsidRPr="00D12DB4">
        <w:rPr>
          <w:rFonts w:ascii="Times New Roman" w:hAnsi="Times New Roman" w:cs="Times New Roman"/>
          <w:sz w:val="24"/>
          <w:szCs w:val="24"/>
        </w:rPr>
        <w:t>es</w:t>
      </w:r>
      <w:r w:rsidR="0006510F" w:rsidRPr="00D12DB4">
        <w:rPr>
          <w:rFonts w:ascii="Times New Roman" w:hAnsi="Times New Roman" w:cs="Times New Roman"/>
          <w:sz w:val="24"/>
          <w:szCs w:val="24"/>
        </w:rPr>
        <w:t xml:space="preserve"> </w:t>
      </w:r>
      <w:r w:rsidRPr="00D12DB4">
        <w:rPr>
          <w:rFonts w:ascii="Times New Roman" w:hAnsi="Times New Roman" w:cs="Times New Roman"/>
          <w:sz w:val="24"/>
          <w:szCs w:val="24"/>
        </w:rPr>
        <w:t xml:space="preserve">nav </w:t>
      </w:r>
      <w:r w:rsidR="0006510F" w:rsidRPr="00D12DB4">
        <w:rPr>
          <w:rFonts w:ascii="Times New Roman" w:hAnsi="Times New Roman" w:cs="Times New Roman"/>
          <w:sz w:val="24"/>
          <w:szCs w:val="24"/>
        </w:rPr>
        <w:t>noteik</w:t>
      </w:r>
      <w:r w:rsidR="002B3C6D" w:rsidRPr="00D12DB4">
        <w:rPr>
          <w:rFonts w:ascii="Times New Roman" w:hAnsi="Times New Roman" w:cs="Times New Roman"/>
          <w:sz w:val="24"/>
          <w:szCs w:val="24"/>
        </w:rPr>
        <w:t>ušas</w:t>
      </w:r>
      <w:r w:rsidRPr="00D12DB4">
        <w:rPr>
          <w:rFonts w:ascii="Times New Roman" w:hAnsi="Times New Roman" w:cs="Times New Roman"/>
          <w:sz w:val="24"/>
          <w:szCs w:val="24"/>
        </w:rPr>
        <w:t xml:space="preserve"> pienākum</w:t>
      </w:r>
      <w:r w:rsidR="002B3C6D" w:rsidRPr="00D12DB4">
        <w:rPr>
          <w:rFonts w:ascii="Times New Roman" w:hAnsi="Times New Roman" w:cs="Times New Roman"/>
          <w:sz w:val="24"/>
          <w:szCs w:val="24"/>
        </w:rPr>
        <w:t>u</w:t>
      </w:r>
      <w:r w:rsidRPr="00D12DB4">
        <w:rPr>
          <w:rFonts w:ascii="Times New Roman" w:hAnsi="Times New Roman" w:cs="Times New Roman"/>
          <w:sz w:val="24"/>
          <w:szCs w:val="24"/>
        </w:rPr>
        <w:t xml:space="preserve"> vai procedūr</w:t>
      </w:r>
      <w:r w:rsidR="002B3C6D" w:rsidRPr="00D12DB4">
        <w:rPr>
          <w:rFonts w:ascii="Times New Roman" w:hAnsi="Times New Roman" w:cs="Times New Roman"/>
          <w:sz w:val="24"/>
          <w:szCs w:val="24"/>
        </w:rPr>
        <w:t>u,</w:t>
      </w:r>
      <w:r w:rsidRPr="00D12DB4">
        <w:rPr>
          <w:rFonts w:ascii="Times New Roman" w:hAnsi="Times New Roman" w:cs="Times New Roman"/>
          <w:sz w:val="24"/>
          <w:szCs w:val="24"/>
        </w:rPr>
        <w:t xml:space="preserve"> kādā sniegt atgriezenisko saiti. Izņēmumi ir FKTK un Valsts ieņēmumu dienests, kuriem ir pienākums sniegt atgriezenisko saiti, ja tas tiek pieprasīts, kā arī Valsts policija, kurai ir noteikti mehānismi, kā sniegt atgriezenisko saiti. KD ir pienākums sniegt atgriezenisko saiti, ja tas ir iespējams.</w:t>
      </w:r>
      <w:r w:rsidR="00CA1DF1" w:rsidRPr="00D12DB4">
        <w:rPr>
          <w:rFonts w:ascii="Times New Roman" w:hAnsi="Times New Roman" w:cs="Times New Roman"/>
          <w:sz w:val="24"/>
          <w:szCs w:val="24"/>
        </w:rPr>
        <w:t xml:space="preserve"> </w:t>
      </w:r>
    </w:p>
    <w:p w14:paraId="315DC300" w14:textId="77777777" w:rsidR="00B25519" w:rsidRPr="00D12DB4" w:rsidRDefault="00B25519" w:rsidP="00B25519">
      <w:pPr>
        <w:pStyle w:val="Sarakstarindkopa"/>
        <w:spacing w:before="120" w:after="120"/>
        <w:ind w:left="792"/>
        <w:jc w:val="both"/>
        <w:rPr>
          <w:rFonts w:ascii="Times New Roman" w:eastAsia="Times New Roman" w:hAnsi="Times New Roman" w:cs="Times New Roman"/>
          <w:bCs/>
          <w:sz w:val="24"/>
          <w:szCs w:val="24"/>
          <w:lang w:eastAsia="lv-LV"/>
        </w:rPr>
      </w:pPr>
    </w:p>
    <w:p w14:paraId="750E9616" w14:textId="389B8633" w:rsidR="004875BA" w:rsidRPr="00D12DB4" w:rsidRDefault="00CA1DF1" w:rsidP="00CC2ACE">
      <w:pPr>
        <w:pStyle w:val="Sarakstarindkopa"/>
        <w:numPr>
          <w:ilvl w:val="1"/>
          <w:numId w:val="11"/>
        </w:numPr>
        <w:spacing w:before="120" w:after="120"/>
        <w:jc w:val="both"/>
        <w:rPr>
          <w:rFonts w:ascii="Times New Roman" w:eastAsia="Times New Roman" w:hAnsi="Times New Roman" w:cs="Times New Roman"/>
          <w:bCs/>
          <w:sz w:val="24"/>
          <w:szCs w:val="24"/>
          <w:lang w:eastAsia="lv-LV"/>
        </w:rPr>
      </w:pPr>
      <w:r w:rsidRPr="00D12DB4">
        <w:rPr>
          <w:rFonts w:ascii="Times New Roman" w:hAnsi="Times New Roman" w:cs="Times New Roman"/>
          <w:bCs/>
          <w:sz w:val="24"/>
          <w:szCs w:val="24"/>
        </w:rPr>
        <w:t>NILLTFNL 46. pant</w:t>
      </w:r>
      <w:r w:rsidR="00CB1C32">
        <w:rPr>
          <w:rFonts w:ascii="Times New Roman" w:hAnsi="Times New Roman" w:cs="Times New Roman"/>
          <w:bCs/>
          <w:sz w:val="24"/>
          <w:szCs w:val="24"/>
        </w:rPr>
        <w:t xml:space="preserve">a pirmās daļas septītajā punktā noteiktais pienākums uzraugošajām iestādēm </w:t>
      </w:r>
      <w:r w:rsidR="00CB1C32" w:rsidRPr="00CB1C32">
        <w:rPr>
          <w:rFonts w:ascii="Times New Roman" w:hAnsi="Times New Roman" w:cs="Times New Roman"/>
          <w:bCs/>
          <w:sz w:val="24"/>
          <w:szCs w:val="24"/>
        </w:rPr>
        <w:t>veikt informācijas apmaiņu ar ārvalstu iestādēm</w:t>
      </w:r>
      <w:r w:rsidR="00674D75">
        <w:rPr>
          <w:rFonts w:ascii="Times New Roman" w:hAnsi="Times New Roman" w:cs="Times New Roman"/>
          <w:bCs/>
          <w:sz w:val="24"/>
          <w:szCs w:val="24"/>
        </w:rPr>
        <w:t>,</w:t>
      </w:r>
      <w:r w:rsidR="00CB1C32">
        <w:rPr>
          <w:rFonts w:ascii="Times New Roman" w:hAnsi="Times New Roman" w:cs="Times New Roman"/>
          <w:bCs/>
          <w:sz w:val="24"/>
          <w:szCs w:val="24"/>
        </w:rPr>
        <w:t xml:space="preserve"> vienlaikus </w:t>
      </w:r>
      <w:r w:rsidR="00674D75">
        <w:rPr>
          <w:rFonts w:ascii="Times New Roman" w:hAnsi="Times New Roman" w:cs="Times New Roman"/>
          <w:bCs/>
          <w:sz w:val="24"/>
          <w:szCs w:val="24"/>
        </w:rPr>
        <w:t xml:space="preserve">ir uzskatāms par tiesību normu, kas </w:t>
      </w:r>
      <w:r w:rsidR="00CB1C32">
        <w:rPr>
          <w:rFonts w:ascii="Times New Roman" w:hAnsi="Times New Roman" w:cs="Times New Roman"/>
          <w:bCs/>
          <w:sz w:val="24"/>
          <w:szCs w:val="24"/>
        </w:rPr>
        <w:t>nosaka uzraugošajām iestādēm tiesības apstrādāt personu datus.</w:t>
      </w:r>
      <w:r w:rsidR="00E85E87" w:rsidRPr="00D12DB4">
        <w:rPr>
          <w:rFonts w:ascii="Times New Roman" w:hAnsi="Times New Roman" w:cs="Times New Roman"/>
          <w:bCs/>
          <w:sz w:val="24"/>
          <w:szCs w:val="24"/>
        </w:rPr>
        <w:t xml:space="preserve"> </w:t>
      </w:r>
      <w:r w:rsidR="00CB1C32">
        <w:rPr>
          <w:rFonts w:ascii="Times New Roman" w:hAnsi="Times New Roman" w:cs="Times New Roman"/>
          <w:bCs/>
          <w:sz w:val="24"/>
          <w:szCs w:val="24"/>
        </w:rPr>
        <w:t xml:space="preserve">Minētā norma </w:t>
      </w:r>
      <w:r w:rsidR="00E85E87" w:rsidRPr="00D12DB4">
        <w:rPr>
          <w:rFonts w:ascii="Times New Roman" w:hAnsi="Times New Roman" w:cs="Times New Roman"/>
          <w:bCs/>
          <w:sz w:val="24"/>
          <w:szCs w:val="24"/>
        </w:rPr>
        <w:t xml:space="preserve">paredz, ka informācijas apmaiņa ir iespējama, ja tiek nodrošināta datu konfidencialitāte un to izmantošana ir iespējama vienīgi savstarpēji saskaņotiem mērķiem. </w:t>
      </w:r>
      <w:r w:rsidR="004875BA" w:rsidRPr="00D12DB4">
        <w:rPr>
          <w:rFonts w:ascii="Times New Roman" w:hAnsi="Times New Roman" w:cs="Times New Roman"/>
          <w:bCs/>
          <w:sz w:val="24"/>
          <w:szCs w:val="24"/>
        </w:rPr>
        <w:t xml:space="preserve">Tomēr uzraugošajās iestādēs nav noteikta kārtība, kādā tiek nodrošināta datu konfidencialitāte. </w:t>
      </w:r>
      <w:r w:rsidR="00E85E87" w:rsidRPr="00D12DB4">
        <w:rPr>
          <w:rFonts w:ascii="Times New Roman" w:hAnsi="Times New Roman" w:cs="Times New Roman"/>
          <w:bCs/>
          <w:sz w:val="24"/>
          <w:szCs w:val="24"/>
        </w:rPr>
        <w:t>Uzraugošajām iestādēm</w:t>
      </w:r>
      <w:r w:rsidRPr="00D12DB4">
        <w:rPr>
          <w:rFonts w:ascii="Times New Roman" w:hAnsi="Times New Roman" w:cs="Times New Roman"/>
          <w:bCs/>
          <w:sz w:val="24"/>
          <w:szCs w:val="24"/>
        </w:rPr>
        <w:t xml:space="preserve"> </w:t>
      </w:r>
      <w:r w:rsidR="00E85E87" w:rsidRPr="00D12DB4">
        <w:rPr>
          <w:rFonts w:ascii="Times New Roman" w:hAnsi="Times New Roman" w:cs="Times New Roman"/>
          <w:bCs/>
          <w:sz w:val="24"/>
          <w:szCs w:val="24"/>
        </w:rPr>
        <w:t>j</w:t>
      </w:r>
      <w:r w:rsidR="00604957" w:rsidRPr="00D12DB4">
        <w:rPr>
          <w:rFonts w:ascii="Times New Roman" w:hAnsi="Times New Roman" w:cs="Times New Roman"/>
          <w:bCs/>
          <w:sz w:val="24"/>
          <w:szCs w:val="24"/>
        </w:rPr>
        <w:t>ānodrošina, ka nosūtītā un saņemtā informācija tiek izmantota tikai tiem mērķiem un to izmanto tikai tās iestādes, kam šī informācija bija paredzēta</w:t>
      </w:r>
      <w:r w:rsidR="009C4F73" w:rsidRPr="00D12DB4">
        <w:rPr>
          <w:rFonts w:ascii="Times New Roman" w:hAnsi="Times New Roman" w:cs="Times New Roman"/>
          <w:bCs/>
          <w:sz w:val="24"/>
          <w:szCs w:val="24"/>
        </w:rPr>
        <w:t>.</w:t>
      </w:r>
      <w:r w:rsidR="004875BA" w:rsidRPr="00D12DB4">
        <w:rPr>
          <w:rFonts w:ascii="Times New Roman" w:hAnsi="Times New Roman" w:cs="Times New Roman"/>
          <w:bCs/>
          <w:sz w:val="24"/>
          <w:szCs w:val="24"/>
        </w:rPr>
        <w:t xml:space="preserve"> </w:t>
      </w:r>
      <w:r w:rsidR="000F72DD" w:rsidRPr="00D12DB4">
        <w:rPr>
          <w:rFonts w:ascii="Times New Roman" w:hAnsi="Times New Roman" w:cs="Times New Roman"/>
          <w:sz w:val="24"/>
          <w:szCs w:val="24"/>
        </w:rPr>
        <w:t>Uzraugošās iestādes</w:t>
      </w:r>
      <w:r w:rsidR="0021479D" w:rsidRPr="00D12DB4">
        <w:rPr>
          <w:rFonts w:ascii="Times New Roman" w:hAnsi="Times New Roman" w:cs="Times New Roman"/>
          <w:sz w:val="24"/>
          <w:szCs w:val="24"/>
        </w:rPr>
        <w:t xml:space="preserve"> ir tiesīga</w:t>
      </w:r>
      <w:r w:rsidR="000F72DD" w:rsidRPr="00D12DB4">
        <w:rPr>
          <w:rFonts w:ascii="Times New Roman" w:hAnsi="Times New Roman" w:cs="Times New Roman"/>
          <w:sz w:val="24"/>
          <w:szCs w:val="24"/>
        </w:rPr>
        <w:t>s</w:t>
      </w:r>
      <w:r w:rsidR="0021479D" w:rsidRPr="00D12DB4">
        <w:rPr>
          <w:rFonts w:ascii="Times New Roman" w:hAnsi="Times New Roman" w:cs="Times New Roman"/>
          <w:sz w:val="24"/>
          <w:szCs w:val="24"/>
        </w:rPr>
        <w:t xml:space="preserve"> slēgt informācijas apmaiņas līgumus ar trešās valsts institūcijām, </w:t>
      </w:r>
      <w:r w:rsidR="00C36EAB" w:rsidRPr="00D12DB4">
        <w:rPr>
          <w:rFonts w:ascii="Times New Roman" w:hAnsi="Times New Roman" w:cs="Times New Roman"/>
          <w:sz w:val="24"/>
          <w:szCs w:val="24"/>
        </w:rPr>
        <w:t>kuru pienākumi pēc būtības ir līdzīgi attiecīgajai uzraugošajai institūcijai</w:t>
      </w:r>
      <w:r w:rsidR="0021479D" w:rsidRPr="00D12DB4">
        <w:rPr>
          <w:rFonts w:ascii="Times New Roman" w:hAnsi="Times New Roman" w:cs="Times New Roman"/>
          <w:sz w:val="24"/>
          <w:szCs w:val="24"/>
        </w:rPr>
        <w:t>, ja šīs valsts normatīvie akti paredz līdzvērtīgu atbildību par ierobežotas pieejamības informācijas neatļautu izpaušanu. Šāda i</w:t>
      </w:r>
      <w:r w:rsidR="00C36EAB" w:rsidRPr="00D12DB4">
        <w:rPr>
          <w:rFonts w:ascii="Times New Roman" w:hAnsi="Times New Roman" w:cs="Times New Roman"/>
          <w:sz w:val="24"/>
          <w:szCs w:val="24"/>
        </w:rPr>
        <w:t xml:space="preserve">nformācija izmantojama vienīgi veicot </w:t>
      </w:r>
      <w:r w:rsidR="0021479D" w:rsidRPr="00D12DB4">
        <w:rPr>
          <w:rFonts w:ascii="Times New Roman" w:hAnsi="Times New Roman" w:cs="Times New Roman"/>
          <w:sz w:val="24"/>
          <w:szCs w:val="24"/>
        </w:rPr>
        <w:t xml:space="preserve">attiecīgajām institūcijām likumā noteiktās funkcijas. Saņemto informāciju attiecīgās trešās valsts institūcijas ir tiesīgas izpaust vienīgi ar </w:t>
      </w:r>
      <w:r w:rsidR="00C36EAB" w:rsidRPr="00D12DB4">
        <w:rPr>
          <w:rFonts w:ascii="Times New Roman" w:hAnsi="Times New Roman" w:cs="Times New Roman"/>
          <w:sz w:val="24"/>
          <w:szCs w:val="24"/>
        </w:rPr>
        <w:t xml:space="preserve">Latvijas uzraugošās iestādes </w:t>
      </w:r>
      <w:r w:rsidR="0021479D" w:rsidRPr="00D12DB4">
        <w:rPr>
          <w:rFonts w:ascii="Times New Roman" w:hAnsi="Times New Roman" w:cs="Times New Roman"/>
          <w:sz w:val="24"/>
          <w:szCs w:val="24"/>
        </w:rPr>
        <w:t xml:space="preserve">rakstveida piekrišanu un vienīgi nolūkam, kādam šī piekrišana dota. </w:t>
      </w:r>
      <w:r w:rsidR="00C36EAB" w:rsidRPr="00D12DB4">
        <w:rPr>
          <w:rFonts w:ascii="Times New Roman" w:hAnsi="Times New Roman" w:cs="Times New Roman"/>
          <w:sz w:val="24"/>
          <w:szCs w:val="24"/>
        </w:rPr>
        <w:t xml:space="preserve">Tāpat arī </w:t>
      </w:r>
      <w:r w:rsidR="00735027">
        <w:rPr>
          <w:rFonts w:ascii="Times New Roman" w:hAnsi="Times New Roman" w:cs="Times New Roman"/>
          <w:sz w:val="24"/>
          <w:szCs w:val="24"/>
        </w:rPr>
        <w:t xml:space="preserve">no </w:t>
      </w:r>
      <w:r w:rsidR="00C36EAB" w:rsidRPr="00D12DB4">
        <w:rPr>
          <w:rFonts w:ascii="Times New Roman" w:hAnsi="Times New Roman" w:cs="Times New Roman"/>
          <w:sz w:val="24"/>
          <w:szCs w:val="24"/>
        </w:rPr>
        <w:t>citu valstu</w:t>
      </w:r>
      <w:r w:rsidR="0021479D" w:rsidRPr="00D12DB4">
        <w:rPr>
          <w:rFonts w:ascii="Times New Roman" w:hAnsi="Times New Roman" w:cs="Times New Roman"/>
          <w:sz w:val="24"/>
          <w:szCs w:val="24"/>
        </w:rPr>
        <w:t xml:space="preserve"> uzraudzības iestādēm saņemto informāciju</w:t>
      </w:r>
      <w:r w:rsidR="00C36EAB" w:rsidRPr="00D12DB4">
        <w:rPr>
          <w:rFonts w:ascii="Times New Roman" w:hAnsi="Times New Roman" w:cs="Times New Roman"/>
          <w:sz w:val="24"/>
          <w:szCs w:val="24"/>
        </w:rPr>
        <w:t xml:space="preserve"> uzraudzības iestāde</w:t>
      </w:r>
      <w:r w:rsidR="0021479D" w:rsidRPr="00D12DB4">
        <w:rPr>
          <w:rFonts w:ascii="Times New Roman" w:hAnsi="Times New Roman" w:cs="Times New Roman"/>
          <w:sz w:val="24"/>
          <w:szCs w:val="24"/>
        </w:rPr>
        <w:t xml:space="preserve"> ir tiesīga izmantot vienīgi tās uzraudzības funkciju veikšanai.</w:t>
      </w:r>
      <w:r w:rsidR="00C36EAB" w:rsidRPr="00D12DB4">
        <w:rPr>
          <w:rFonts w:ascii="Times New Roman" w:hAnsi="Times New Roman" w:cs="Times New Roman"/>
          <w:sz w:val="24"/>
          <w:szCs w:val="24"/>
        </w:rPr>
        <w:t xml:space="preserve"> </w:t>
      </w:r>
    </w:p>
    <w:p w14:paraId="4BA0C7F2" w14:textId="41782480" w:rsidR="00A97C00" w:rsidRPr="00D12DB4" w:rsidRDefault="00E62E3A" w:rsidP="00CC2ACE">
      <w:pPr>
        <w:pStyle w:val="Sarakstarindkopa"/>
        <w:spacing w:before="120" w:after="120"/>
        <w:ind w:left="709" w:firstLine="709"/>
        <w:jc w:val="both"/>
        <w:rPr>
          <w:rFonts w:ascii="Times New Roman" w:eastAsia="Times New Roman" w:hAnsi="Times New Roman" w:cs="Times New Roman"/>
          <w:bCs/>
          <w:sz w:val="24"/>
          <w:szCs w:val="24"/>
          <w:lang w:eastAsia="lv-LV"/>
        </w:rPr>
      </w:pPr>
      <w:r w:rsidRPr="00D12DB4">
        <w:rPr>
          <w:rFonts w:ascii="Times New Roman" w:eastAsia="Calibri" w:hAnsi="Times New Roman" w:cs="Times New Roman"/>
          <w:sz w:val="24"/>
          <w:szCs w:val="24"/>
        </w:rPr>
        <w:t xml:space="preserve">  </w:t>
      </w:r>
      <w:r w:rsidR="00F92BFB" w:rsidRPr="00D12DB4">
        <w:rPr>
          <w:rFonts w:ascii="Times New Roman" w:eastAsia="Calibri" w:hAnsi="Times New Roman" w:cs="Times New Roman"/>
          <w:sz w:val="24"/>
          <w:szCs w:val="24"/>
        </w:rPr>
        <w:t>Eiropas Parlamenta un Padomes Regulas (ES) 2016/679 (2016. gada 27. aprīlis) par fizisku personu aizsardzību attiecībā uz personas datu apstrādi un šādu datu brīvu apriti un ar ko atceļ Direktīvu 95/46/EK (Vispārīgā datu aizsardzības regula) (turpmāk – Regula 2016/679)</w:t>
      </w:r>
      <w:r w:rsidR="00B835AB" w:rsidRPr="00D12DB4">
        <w:rPr>
          <w:rFonts w:ascii="Times New Roman" w:eastAsia="Calibri" w:hAnsi="Times New Roman" w:cs="Times New Roman"/>
          <w:sz w:val="24"/>
          <w:szCs w:val="24"/>
        </w:rPr>
        <w:t xml:space="preserve"> V nodaļa "</w:t>
      </w:r>
      <w:r w:rsidR="00423201" w:rsidRPr="00D12DB4">
        <w:rPr>
          <w:rFonts w:ascii="Times New Roman" w:eastAsia="Calibri" w:hAnsi="Times New Roman" w:cs="Times New Roman"/>
          <w:sz w:val="24"/>
          <w:szCs w:val="24"/>
        </w:rPr>
        <w:t>Personas datu nosūtīšana uz treš</w:t>
      </w:r>
      <w:r w:rsidR="00735027">
        <w:rPr>
          <w:rFonts w:ascii="Times New Roman" w:eastAsia="Calibri" w:hAnsi="Times New Roman" w:cs="Times New Roman"/>
          <w:sz w:val="24"/>
          <w:szCs w:val="24"/>
        </w:rPr>
        <w:t>aj</w:t>
      </w:r>
      <w:r w:rsidR="00423201" w:rsidRPr="00D12DB4">
        <w:rPr>
          <w:rFonts w:ascii="Times New Roman" w:eastAsia="Calibri" w:hAnsi="Times New Roman" w:cs="Times New Roman"/>
          <w:sz w:val="24"/>
          <w:szCs w:val="24"/>
        </w:rPr>
        <w:t xml:space="preserve">ām valstīm vai starptautiskām </w:t>
      </w:r>
      <w:r w:rsidR="00423201" w:rsidRPr="00D12DB4">
        <w:rPr>
          <w:rFonts w:ascii="Times New Roman" w:eastAsia="Calibri" w:hAnsi="Times New Roman" w:cs="Times New Roman"/>
          <w:sz w:val="24"/>
          <w:szCs w:val="24"/>
        </w:rPr>
        <w:lastRenderedPageBreak/>
        <w:t>organizācijām</w:t>
      </w:r>
      <w:r w:rsidR="00B835AB" w:rsidRPr="00D12DB4">
        <w:rPr>
          <w:rFonts w:ascii="Times New Roman" w:eastAsia="Calibri" w:hAnsi="Times New Roman" w:cs="Times New Roman"/>
          <w:sz w:val="24"/>
          <w:szCs w:val="24"/>
        </w:rPr>
        <w:t>"</w:t>
      </w:r>
      <w:r w:rsidR="00A97C00" w:rsidRPr="00D12DB4">
        <w:rPr>
          <w:rFonts w:ascii="Times New Roman" w:eastAsia="Calibri" w:hAnsi="Times New Roman" w:cs="Times New Roman"/>
          <w:sz w:val="24"/>
          <w:szCs w:val="24"/>
        </w:rPr>
        <w:t xml:space="preserve"> nosaka kritērijus, kad personu datus var nosūtīt uz trešajām valstīm vai starptautiskajām organizācijām:</w:t>
      </w:r>
      <w:r w:rsidR="00F92BFB" w:rsidRPr="00D12DB4">
        <w:rPr>
          <w:rFonts w:ascii="Times New Roman" w:eastAsia="Calibri" w:hAnsi="Times New Roman" w:cs="Times New Roman"/>
          <w:sz w:val="24"/>
          <w:szCs w:val="24"/>
        </w:rPr>
        <w:t xml:space="preserve"> </w:t>
      </w:r>
    </w:p>
    <w:p w14:paraId="722375CA" w14:textId="77777777" w:rsidR="00E62E3A" w:rsidRPr="00D12DB4" w:rsidRDefault="00E62E3A" w:rsidP="00CC2ACE">
      <w:pPr>
        <w:pStyle w:val="Sarakstarindkopa"/>
        <w:numPr>
          <w:ilvl w:val="0"/>
          <w:numId w:val="9"/>
        </w:numPr>
        <w:spacing w:before="120" w:after="120"/>
        <w:jc w:val="both"/>
        <w:rPr>
          <w:rFonts w:ascii="Times New Roman" w:eastAsia="Calibri" w:hAnsi="Times New Roman" w:cs="Times New Roman"/>
          <w:vanish/>
          <w:sz w:val="24"/>
          <w:szCs w:val="24"/>
        </w:rPr>
      </w:pPr>
    </w:p>
    <w:p w14:paraId="556AAF48" w14:textId="77777777" w:rsidR="00E62E3A" w:rsidRPr="00D12DB4" w:rsidRDefault="00E62E3A" w:rsidP="00CC2ACE">
      <w:pPr>
        <w:pStyle w:val="Sarakstarindkopa"/>
        <w:numPr>
          <w:ilvl w:val="0"/>
          <w:numId w:val="9"/>
        </w:numPr>
        <w:spacing w:before="120" w:after="120"/>
        <w:jc w:val="both"/>
        <w:rPr>
          <w:rFonts w:ascii="Times New Roman" w:eastAsia="Calibri" w:hAnsi="Times New Roman" w:cs="Times New Roman"/>
          <w:vanish/>
          <w:sz w:val="24"/>
          <w:szCs w:val="24"/>
        </w:rPr>
      </w:pPr>
    </w:p>
    <w:p w14:paraId="78D34262" w14:textId="77777777" w:rsidR="00E62E3A" w:rsidRPr="00D12DB4" w:rsidRDefault="00E62E3A" w:rsidP="00CC2ACE">
      <w:pPr>
        <w:pStyle w:val="Sarakstarindkopa"/>
        <w:numPr>
          <w:ilvl w:val="1"/>
          <w:numId w:val="9"/>
        </w:numPr>
        <w:spacing w:before="120" w:after="120"/>
        <w:jc w:val="both"/>
        <w:rPr>
          <w:rFonts w:ascii="Times New Roman" w:eastAsia="Calibri" w:hAnsi="Times New Roman" w:cs="Times New Roman"/>
          <w:vanish/>
          <w:sz w:val="24"/>
          <w:szCs w:val="24"/>
        </w:rPr>
      </w:pPr>
    </w:p>
    <w:p w14:paraId="5BA692A6" w14:textId="77777777" w:rsidR="00E62E3A" w:rsidRPr="00D12DB4" w:rsidRDefault="00E62E3A" w:rsidP="00CC2ACE">
      <w:pPr>
        <w:pStyle w:val="Sarakstarindkopa"/>
        <w:numPr>
          <w:ilvl w:val="1"/>
          <w:numId w:val="9"/>
        </w:numPr>
        <w:spacing w:before="120" w:after="120"/>
        <w:jc w:val="both"/>
        <w:rPr>
          <w:rFonts w:ascii="Times New Roman" w:eastAsia="Calibri" w:hAnsi="Times New Roman" w:cs="Times New Roman"/>
          <w:vanish/>
          <w:sz w:val="24"/>
          <w:szCs w:val="24"/>
        </w:rPr>
      </w:pPr>
    </w:p>
    <w:p w14:paraId="2054DD9F" w14:textId="77777777" w:rsidR="00E62E3A" w:rsidRPr="00D12DB4" w:rsidRDefault="00E62E3A" w:rsidP="00CC2ACE">
      <w:pPr>
        <w:pStyle w:val="Sarakstarindkopa"/>
        <w:numPr>
          <w:ilvl w:val="1"/>
          <w:numId w:val="9"/>
        </w:numPr>
        <w:spacing w:before="120" w:after="120"/>
        <w:jc w:val="both"/>
        <w:rPr>
          <w:rFonts w:ascii="Times New Roman" w:eastAsia="Calibri" w:hAnsi="Times New Roman" w:cs="Times New Roman"/>
          <w:vanish/>
          <w:sz w:val="24"/>
          <w:szCs w:val="24"/>
        </w:rPr>
      </w:pPr>
    </w:p>
    <w:p w14:paraId="72C6E524" w14:textId="77777777" w:rsidR="00E62E3A" w:rsidRPr="00D12DB4" w:rsidRDefault="00E62E3A" w:rsidP="00CC2ACE">
      <w:pPr>
        <w:pStyle w:val="Sarakstarindkopa"/>
        <w:numPr>
          <w:ilvl w:val="1"/>
          <w:numId w:val="9"/>
        </w:numPr>
        <w:spacing w:before="120" w:after="120"/>
        <w:jc w:val="both"/>
        <w:rPr>
          <w:rFonts w:ascii="Times New Roman" w:eastAsia="Calibri" w:hAnsi="Times New Roman" w:cs="Times New Roman"/>
          <w:vanish/>
          <w:sz w:val="24"/>
          <w:szCs w:val="24"/>
        </w:rPr>
      </w:pPr>
    </w:p>
    <w:p w14:paraId="535181C0" w14:textId="77777777" w:rsidR="00E62E3A" w:rsidRPr="00D12DB4" w:rsidRDefault="00E62E3A" w:rsidP="00CC2ACE">
      <w:pPr>
        <w:pStyle w:val="Sarakstarindkopa"/>
        <w:numPr>
          <w:ilvl w:val="1"/>
          <w:numId w:val="9"/>
        </w:numPr>
        <w:spacing w:before="120" w:after="120"/>
        <w:jc w:val="both"/>
        <w:rPr>
          <w:rFonts w:ascii="Times New Roman" w:eastAsia="Calibri" w:hAnsi="Times New Roman" w:cs="Times New Roman"/>
          <w:vanish/>
          <w:sz w:val="24"/>
          <w:szCs w:val="24"/>
        </w:rPr>
      </w:pPr>
    </w:p>
    <w:p w14:paraId="78EB7D56" w14:textId="50872FA4" w:rsidR="00423201" w:rsidRPr="00D12DB4" w:rsidRDefault="00423201" w:rsidP="00CC2ACE">
      <w:pPr>
        <w:pStyle w:val="Sarakstarindkopa"/>
        <w:numPr>
          <w:ilvl w:val="2"/>
          <w:numId w:val="9"/>
        </w:numPr>
        <w:spacing w:before="120" w:after="120"/>
        <w:ind w:left="1418" w:hanging="709"/>
        <w:jc w:val="both"/>
        <w:rPr>
          <w:rFonts w:ascii="Times New Roman" w:eastAsia="Calibri" w:hAnsi="Times New Roman" w:cs="Times New Roman"/>
          <w:sz w:val="24"/>
          <w:szCs w:val="24"/>
        </w:rPr>
      </w:pPr>
      <w:r w:rsidRPr="00D12DB4">
        <w:rPr>
          <w:rFonts w:ascii="Times New Roman" w:eastAsia="Calibri" w:hAnsi="Times New Roman" w:cs="Times New Roman"/>
          <w:sz w:val="24"/>
          <w:szCs w:val="24"/>
        </w:rPr>
        <w:t>J</w:t>
      </w:r>
      <w:r w:rsidR="00A97C00" w:rsidRPr="00D12DB4">
        <w:rPr>
          <w:rFonts w:ascii="Times New Roman" w:eastAsia="Calibri" w:hAnsi="Times New Roman" w:cs="Times New Roman"/>
          <w:sz w:val="24"/>
          <w:szCs w:val="24"/>
        </w:rPr>
        <w:t xml:space="preserve">a </w:t>
      </w:r>
      <w:r w:rsidR="00B84700" w:rsidRPr="00D12DB4">
        <w:rPr>
          <w:rFonts w:ascii="Times New Roman" w:eastAsia="Calibri" w:hAnsi="Times New Roman" w:cs="Times New Roman"/>
          <w:sz w:val="24"/>
          <w:szCs w:val="24"/>
        </w:rPr>
        <w:t>Eiropas Komisija</w:t>
      </w:r>
      <w:r w:rsidR="00A97C00" w:rsidRPr="00D12DB4">
        <w:rPr>
          <w:rFonts w:ascii="Times New Roman" w:eastAsia="Calibri" w:hAnsi="Times New Roman" w:cs="Times New Roman"/>
          <w:sz w:val="24"/>
          <w:szCs w:val="24"/>
        </w:rPr>
        <w:t xml:space="preserve"> ir nolēmusi, ka trešā valsts, kāda minētās trešās valsts teritorija vai viens vai vairāki konkrēti sektori, vai attiecīgā starptautiskā organizācija nodrošina pietiekamu aizsardzības līmeni. Šādai nosūtīšanai nav ne</w:t>
      </w:r>
      <w:r w:rsidRPr="00D12DB4">
        <w:rPr>
          <w:rFonts w:ascii="Times New Roman" w:eastAsia="Calibri" w:hAnsi="Times New Roman" w:cs="Times New Roman"/>
          <w:sz w:val="24"/>
          <w:szCs w:val="24"/>
        </w:rPr>
        <w:t>pieciešama nekāda īpaša atļauja</w:t>
      </w:r>
      <w:r w:rsidR="00670598" w:rsidRPr="00D12DB4">
        <w:rPr>
          <w:rFonts w:ascii="Times New Roman" w:eastAsia="Calibri" w:hAnsi="Times New Roman" w:cs="Times New Roman"/>
          <w:sz w:val="24"/>
          <w:szCs w:val="24"/>
        </w:rPr>
        <w:t xml:space="preserve"> (Regulas 2016/679 45. pants)</w:t>
      </w:r>
      <w:r w:rsidR="009810CB">
        <w:rPr>
          <w:rFonts w:ascii="Times New Roman" w:eastAsia="Calibri" w:hAnsi="Times New Roman" w:cs="Times New Roman"/>
          <w:sz w:val="24"/>
          <w:szCs w:val="24"/>
        </w:rPr>
        <w:t xml:space="preserve">. </w:t>
      </w:r>
      <w:r w:rsidR="009810CB" w:rsidRPr="009810CB">
        <w:rPr>
          <w:rFonts w:ascii="Times New Roman" w:eastAsia="Calibri" w:hAnsi="Times New Roman" w:cs="Times New Roman"/>
          <w:sz w:val="24"/>
          <w:szCs w:val="24"/>
        </w:rPr>
        <w:t>Vienlaikus pārzinim jāīsteno atbilstoši tehniskie un organizatoriskie pasākumi, lai nodrošinātu un spētu uzskatāmi pierādīt, ka apstrāde notiek saskaņā ar Regul</w:t>
      </w:r>
      <w:r w:rsidR="009810CB">
        <w:rPr>
          <w:rFonts w:ascii="Times New Roman" w:eastAsia="Calibri" w:hAnsi="Times New Roman" w:cs="Times New Roman"/>
          <w:sz w:val="24"/>
          <w:szCs w:val="24"/>
        </w:rPr>
        <w:t>u</w:t>
      </w:r>
      <w:r w:rsidR="009810CB" w:rsidRPr="009810CB">
        <w:rPr>
          <w:rFonts w:ascii="Times New Roman" w:eastAsia="Calibri" w:hAnsi="Times New Roman" w:cs="Times New Roman"/>
          <w:sz w:val="24"/>
          <w:szCs w:val="24"/>
        </w:rPr>
        <w:t xml:space="preserve"> 2016/679</w:t>
      </w:r>
      <w:r w:rsidR="00CB1C32">
        <w:rPr>
          <w:rFonts w:ascii="Times New Roman" w:eastAsia="Calibri" w:hAnsi="Times New Roman" w:cs="Times New Roman"/>
          <w:sz w:val="24"/>
          <w:szCs w:val="24"/>
        </w:rPr>
        <w:t>. N</w:t>
      </w:r>
      <w:r w:rsidR="009810CB" w:rsidRPr="009810CB">
        <w:rPr>
          <w:rFonts w:ascii="Times New Roman" w:eastAsia="Calibri" w:hAnsi="Times New Roman" w:cs="Times New Roman"/>
          <w:sz w:val="24"/>
          <w:szCs w:val="24"/>
        </w:rPr>
        <w:t>eskatoties uz to, ka nav nepieciešama īpaša atļauja datu nodošanai</w:t>
      </w:r>
      <w:r w:rsidR="00CB1C32">
        <w:rPr>
          <w:rFonts w:ascii="Times New Roman" w:eastAsia="Calibri" w:hAnsi="Times New Roman" w:cs="Times New Roman"/>
          <w:sz w:val="24"/>
          <w:szCs w:val="24"/>
        </w:rPr>
        <w:t>,</w:t>
      </w:r>
      <w:r w:rsidR="009810CB" w:rsidRPr="009810CB">
        <w:rPr>
          <w:rFonts w:ascii="Times New Roman" w:eastAsia="Calibri" w:hAnsi="Times New Roman" w:cs="Times New Roman"/>
          <w:sz w:val="24"/>
          <w:szCs w:val="24"/>
        </w:rPr>
        <w:t xml:space="preserve"> ievērojot</w:t>
      </w:r>
      <w:r w:rsidR="00CB1C32">
        <w:rPr>
          <w:rFonts w:ascii="Times New Roman" w:eastAsia="Calibri" w:hAnsi="Times New Roman" w:cs="Times New Roman"/>
          <w:sz w:val="24"/>
          <w:szCs w:val="24"/>
        </w:rPr>
        <w:t xml:space="preserve"> </w:t>
      </w:r>
      <w:r w:rsidR="00CB1C32" w:rsidRPr="00CB1C32">
        <w:t xml:space="preserve"> </w:t>
      </w:r>
      <w:r w:rsidR="00CB1C32" w:rsidRPr="00CB1C32">
        <w:rPr>
          <w:rFonts w:ascii="Times New Roman" w:eastAsia="Calibri" w:hAnsi="Times New Roman" w:cs="Times New Roman"/>
          <w:sz w:val="24"/>
          <w:szCs w:val="24"/>
        </w:rPr>
        <w:t>Regula</w:t>
      </w:r>
      <w:r w:rsidR="00CB1C32">
        <w:rPr>
          <w:rFonts w:ascii="Times New Roman" w:eastAsia="Calibri" w:hAnsi="Times New Roman" w:cs="Times New Roman"/>
          <w:sz w:val="24"/>
          <w:szCs w:val="24"/>
        </w:rPr>
        <w:t>s</w:t>
      </w:r>
      <w:r w:rsidR="00CB1C32" w:rsidRPr="00CB1C32">
        <w:rPr>
          <w:rFonts w:ascii="Times New Roman" w:eastAsia="Calibri" w:hAnsi="Times New Roman" w:cs="Times New Roman"/>
          <w:sz w:val="24"/>
          <w:szCs w:val="24"/>
        </w:rPr>
        <w:t xml:space="preserve"> 2016/679</w:t>
      </w:r>
      <w:r w:rsidR="009810CB" w:rsidRPr="009810CB">
        <w:rPr>
          <w:rFonts w:ascii="Times New Roman" w:eastAsia="Calibri" w:hAnsi="Times New Roman" w:cs="Times New Roman"/>
          <w:sz w:val="24"/>
          <w:szCs w:val="24"/>
        </w:rPr>
        <w:t xml:space="preserve"> 45.</w:t>
      </w:r>
      <w:r w:rsidR="00CB1C32">
        <w:rPr>
          <w:rFonts w:ascii="Times New Roman" w:eastAsia="Calibri" w:hAnsi="Times New Roman" w:cs="Times New Roman"/>
          <w:sz w:val="24"/>
          <w:szCs w:val="24"/>
        </w:rPr>
        <w:t> </w:t>
      </w:r>
      <w:r w:rsidR="009810CB" w:rsidRPr="009810CB">
        <w:rPr>
          <w:rFonts w:ascii="Times New Roman" w:eastAsia="Calibri" w:hAnsi="Times New Roman" w:cs="Times New Roman"/>
          <w:sz w:val="24"/>
          <w:szCs w:val="24"/>
        </w:rPr>
        <w:t>pantu, tas neatbrīvo pārzini no pienākuma veikt attiecīgos priekšdarbus (piemēram, noslēgt vienošanos ar citas valsts uzraudzības iestādi), lai nodrošinātu tiesisko pamatu personas datu nodošanai, kā arī saņemtu garantijas par personas datu apstrādes procesa tehnisko un organizatorisko aizsardzības pasākumu ievērošanu</w:t>
      </w:r>
      <w:r w:rsidRPr="00D12DB4">
        <w:rPr>
          <w:rFonts w:ascii="Times New Roman" w:eastAsia="Calibri" w:hAnsi="Times New Roman" w:cs="Times New Roman"/>
          <w:sz w:val="24"/>
          <w:szCs w:val="24"/>
        </w:rPr>
        <w:t>;</w:t>
      </w:r>
    </w:p>
    <w:p w14:paraId="7D343D3B" w14:textId="77777777" w:rsidR="00423201" w:rsidRPr="00D12DB4" w:rsidRDefault="00A97C00" w:rsidP="00CC2ACE">
      <w:pPr>
        <w:pStyle w:val="Sarakstarindkopa"/>
        <w:numPr>
          <w:ilvl w:val="2"/>
          <w:numId w:val="9"/>
        </w:numPr>
        <w:spacing w:before="120" w:after="120"/>
        <w:ind w:left="1418" w:hanging="709"/>
        <w:jc w:val="both"/>
        <w:rPr>
          <w:rFonts w:ascii="Times New Roman" w:eastAsia="Calibri" w:hAnsi="Times New Roman" w:cs="Times New Roman"/>
          <w:sz w:val="24"/>
          <w:szCs w:val="24"/>
        </w:rPr>
      </w:pPr>
      <w:r w:rsidRPr="00D12DB4">
        <w:rPr>
          <w:rFonts w:ascii="Times New Roman" w:eastAsia="Calibri" w:hAnsi="Times New Roman" w:cs="Times New Roman"/>
          <w:sz w:val="24"/>
          <w:szCs w:val="24"/>
        </w:rPr>
        <w:t>Ja pārzinis vai apstrādātājs ir sniedzis atbilstošas garantijas, un ar nosacījumu, ka datu subjektiem ir pieejamas īstenojamas datu subjekta tiesības un efektīvi tiesiskās aizsardzības līdzekļi (strīdus izskatīšana, atbilstoša kompetenta iestāde datu aizsardzības jomā u.c.). Šo punktu var īstenot, sadarbības līgumos iekļaujot Eiropas Komisijas apstiprinātās standarta datu aizsardzības klauzulas vai arī saskaņojot sadarbības līgumu ar kompetento datu uzraudzības iestādi</w:t>
      </w:r>
      <w:r w:rsidR="00670598" w:rsidRPr="00D12DB4">
        <w:rPr>
          <w:rFonts w:ascii="Times New Roman" w:eastAsia="Calibri" w:hAnsi="Times New Roman" w:cs="Times New Roman"/>
          <w:sz w:val="24"/>
          <w:szCs w:val="24"/>
        </w:rPr>
        <w:t xml:space="preserve"> (Regulas 2016/679 46. pants)</w:t>
      </w:r>
      <w:r w:rsidRPr="00D12DB4">
        <w:rPr>
          <w:rFonts w:ascii="Times New Roman" w:eastAsia="Calibri" w:hAnsi="Times New Roman" w:cs="Times New Roman"/>
          <w:sz w:val="24"/>
          <w:szCs w:val="24"/>
        </w:rPr>
        <w:t>;</w:t>
      </w:r>
      <w:r w:rsidR="00B835AB" w:rsidRPr="00D12DB4">
        <w:rPr>
          <w:rFonts w:ascii="Times New Roman" w:eastAsia="Calibri" w:hAnsi="Times New Roman" w:cs="Times New Roman"/>
          <w:sz w:val="24"/>
          <w:szCs w:val="24"/>
        </w:rPr>
        <w:t xml:space="preserve"> </w:t>
      </w:r>
    </w:p>
    <w:p w14:paraId="581DFD57" w14:textId="77777777" w:rsidR="00670598" w:rsidRPr="00D12DB4" w:rsidRDefault="00A97C00" w:rsidP="00CC2ACE">
      <w:pPr>
        <w:pStyle w:val="Sarakstarindkopa"/>
        <w:numPr>
          <w:ilvl w:val="2"/>
          <w:numId w:val="9"/>
        </w:numPr>
        <w:spacing w:before="120" w:after="120"/>
        <w:ind w:left="1418" w:hanging="709"/>
        <w:jc w:val="both"/>
        <w:rPr>
          <w:rFonts w:ascii="Times New Roman" w:eastAsia="Calibri" w:hAnsi="Times New Roman" w:cs="Times New Roman"/>
          <w:sz w:val="24"/>
          <w:szCs w:val="24"/>
        </w:rPr>
      </w:pPr>
      <w:r w:rsidRPr="00D12DB4">
        <w:rPr>
          <w:rFonts w:ascii="Times New Roman" w:eastAsia="Calibri" w:hAnsi="Times New Roman" w:cs="Times New Roman"/>
          <w:sz w:val="24"/>
          <w:szCs w:val="24"/>
        </w:rPr>
        <w:t>Pamatojoties uz regulējumu par atkāpēm īpašās situācijās, kas ietver arī gadījumu, kad nosūtīšana nepieciešama, ja ir svarīgi iemesli sabiedrības interesēs</w:t>
      </w:r>
      <w:r w:rsidR="00670598" w:rsidRPr="00D12DB4">
        <w:rPr>
          <w:rFonts w:ascii="Times New Roman" w:eastAsia="Calibri" w:hAnsi="Times New Roman" w:cs="Times New Roman"/>
          <w:sz w:val="24"/>
          <w:szCs w:val="24"/>
        </w:rPr>
        <w:t xml:space="preserve"> (Regulas 2016/679 49. pants)</w:t>
      </w:r>
      <w:r w:rsidRPr="00D12DB4">
        <w:rPr>
          <w:rFonts w:ascii="Times New Roman" w:eastAsia="Calibri" w:hAnsi="Times New Roman" w:cs="Times New Roman"/>
          <w:sz w:val="24"/>
          <w:szCs w:val="24"/>
        </w:rPr>
        <w:t xml:space="preserve">. </w:t>
      </w:r>
    </w:p>
    <w:p w14:paraId="118CC4A8" w14:textId="77777777" w:rsidR="00A97C00" w:rsidRPr="00D12DB4" w:rsidRDefault="00F92BFB" w:rsidP="00CC2ACE">
      <w:pPr>
        <w:spacing w:before="120" w:after="120"/>
        <w:ind w:left="709" w:firstLine="709"/>
        <w:jc w:val="both"/>
        <w:rPr>
          <w:rFonts w:ascii="Times New Roman" w:eastAsia="Calibri" w:hAnsi="Times New Roman" w:cs="Times New Roman"/>
          <w:sz w:val="24"/>
          <w:szCs w:val="24"/>
        </w:rPr>
      </w:pPr>
      <w:r w:rsidRPr="00D12DB4">
        <w:rPr>
          <w:rFonts w:ascii="Times New Roman" w:eastAsia="Calibri" w:hAnsi="Times New Roman" w:cs="Times New Roman"/>
          <w:sz w:val="24"/>
          <w:szCs w:val="24"/>
        </w:rPr>
        <w:t>Eiropas Datu aizsardzības</w:t>
      </w:r>
      <w:r w:rsidR="00A122F6" w:rsidRPr="00D12DB4">
        <w:rPr>
          <w:rFonts w:ascii="Times New Roman" w:eastAsia="Calibri" w:hAnsi="Times New Roman" w:cs="Times New Roman"/>
          <w:sz w:val="24"/>
          <w:szCs w:val="24"/>
        </w:rPr>
        <w:t xml:space="preserve"> kolēģija</w:t>
      </w:r>
      <w:r w:rsidRPr="00D12DB4">
        <w:rPr>
          <w:rFonts w:ascii="Times New Roman" w:eastAsia="Calibri" w:hAnsi="Times New Roman" w:cs="Times New Roman"/>
          <w:sz w:val="24"/>
          <w:szCs w:val="24"/>
        </w:rPr>
        <w:t xml:space="preserve"> (turpmāk – EDAK)</w:t>
      </w:r>
      <w:r w:rsidR="00A97C00" w:rsidRPr="00D12DB4">
        <w:rPr>
          <w:rFonts w:ascii="Times New Roman" w:eastAsia="Calibri" w:hAnsi="Times New Roman" w:cs="Times New Roman"/>
          <w:sz w:val="24"/>
          <w:szCs w:val="24"/>
        </w:rPr>
        <w:t xml:space="preserve"> 2018. gada 25. maijā ir pieņēmusi Vadlīnijas 2/2018 par atkāpēm īpašās situācijās saskaņ</w:t>
      </w:r>
      <w:r w:rsidR="00670598" w:rsidRPr="00D12DB4">
        <w:rPr>
          <w:rFonts w:ascii="Times New Roman" w:eastAsia="Calibri" w:hAnsi="Times New Roman" w:cs="Times New Roman"/>
          <w:sz w:val="24"/>
          <w:szCs w:val="24"/>
        </w:rPr>
        <w:t>ā ar Regulas 2016/679 49. pantu</w:t>
      </w:r>
      <w:r w:rsidR="00A97C00" w:rsidRPr="00D12DB4">
        <w:rPr>
          <w:rFonts w:ascii="Times New Roman" w:eastAsia="Calibri" w:hAnsi="Times New Roman" w:cs="Times New Roman"/>
          <w:sz w:val="24"/>
          <w:szCs w:val="24"/>
        </w:rPr>
        <w:t xml:space="preserve">. Tajās ir norādīts, ka, ja nav pieņemts </w:t>
      </w:r>
      <w:r w:rsidR="00815469" w:rsidRPr="00D12DB4">
        <w:rPr>
          <w:rFonts w:ascii="Times New Roman" w:eastAsia="Calibri" w:hAnsi="Times New Roman" w:cs="Times New Roman"/>
          <w:sz w:val="24"/>
          <w:szCs w:val="24"/>
        </w:rPr>
        <w:t>Eiropas K</w:t>
      </w:r>
      <w:r w:rsidR="00A122F6" w:rsidRPr="00D12DB4">
        <w:rPr>
          <w:rFonts w:ascii="Times New Roman" w:eastAsia="Calibri" w:hAnsi="Times New Roman" w:cs="Times New Roman"/>
          <w:sz w:val="24"/>
          <w:szCs w:val="24"/>
        </w:rPr>
        <w:t>omisijas</w:t>
      </w:r>
      <w:r w:rsidR="00A97C00" w:rsidRPr="00D12DB4">
        <w:rPr>
          <w:rFonts w:ascii="Times New Roman" w:eastAsia="Calibri" w:hAnsi="Times New Roman" w:cs="Times New Roman"/>
          <w:sz w:val="24"/>
          <w:szCs w:val="24"/>
        </w:rPr>
        <w:t xml:space="preserve"> lēmums par aizsardzības līmeņa pietiekamību vai nav nodrošinātas atbilstošas garantijas, personu datu nosūtīšana uz trešo valsti var notikt tikai izņēmumu gadījumos un termins </w:t>
      </w:r>
      <w:r w:rsidR="00670598" w:rsidRPr="00D12DB4">
        <w:rPr>
          <w:rFonts w:ascii="Times New Roman" w:eastAsia="Calibri" w:hAnsi="Times New Roman" w:cs="Times New Roman"/>
          <w:sz w:val="24"/>
          <w:szCs w:val="24"/>
        </w:rPr>
        <w:t>"sabiedrības intereses"</w:t>
      </w:r>
      <w:r w:rsidR="00A97C00" w:rsidRPr="00D12DB4">
        <w:rPr>
          <w:rFonts w:ascii="Times New Roman" w:eastAsia="Calibri" w:hAnsi="Times New Roman" w:cs="Times New Roman"/>
          <w:sz w:val="24"/>
          <w:szCs w:val="24"/>
        </w:rPr>
        <w:t xml:space="preserve"> ir jāinterpretē ļoti šauri. Piemēram, ja starp institūcijām ir noslēgts sadarbības līgums, to nevar uzskatīt kā izņēmumu no vispārīgām datu drošības prasībām, jo šāda līguma esamība liecina, ka dati tiek nosūtīti atkārtoti, masveidā un strukturēti. Paredzēto izņēmumu izmantošana nekādā gadījumā nedrīkst novest pie datu subjektu fundamentālo pamattiesību pārkāpumiem. </w:t>
      </w:r>
    </w:p>
    <w:p w14:paraId="60611089" w14:textId="77777777" w:rsidR="00A97C00" w:rsidRPr="00D12DB4" w:rsidRDefault="00A97C00" w:rsidP="00CC2ACE">
      <w:pPr>
        <w:spacing w:before="120" w:after="120"/>
        <w:ind w:left="709" w:firstLine="709"/>
        <w:jc w:val="both"/>
        <w:rPr>
          <w:rFonts w:ascii="Times New Roman" w:eastAsia="Calibri" w:hAnsi="Times New Roman" w:cs="Times New Roman"/>
          <w:sz w:val="24"/>
          <w:szCs w:val="24"/>
        </w:rPr>
      </w:pPr>
      <w:r w:rsidRPr="00D12DB4">
        <w:rPr>
          <w:rFonts w:ascii="Times New Roman" w:eastAsia="Calibri" w:hAnsi="Times New Roman" w:cs="Times New Roman"/>
          <w:sz w:val="24"/>
          <w:szCs w:val="24"/>
        </w:rPr>
        <w:t>EDAK norāda, ka datu nodošana</w:t>
      </w:r>
      <w:r w:rsidR="00423201" w:rsidRPr="00D12DB4">
        <w:rPr>
          <w:rFonts w:ascii="Times New Roman" w:eastAsia="Calibri" w:hAnsi="Times New Roman" w:cs="Times New Roman"/>
          <w:sz w:val="24"/>
          <w:szCs w:val="24"/>
        </w:rPr>
        <w:t>,</w:t>
      </w:r>
      <w:r w:rsidRPr="00D12DB4">
        <w:rPr>
          <w:rFonts w:ascii="Times New Roman" w:eastAsia="Calibri" w:hAnsi="Times New Roman" w:cs="Times New Roman"/>
          <w:sz w:val="24"/>
          <w:szCs w:val="24"/>
        </w:rPr>
        <w:t xml:space="preserve"> izmantojot atkāpi par īpašu sabiedrības interešu nodrošināšanu</w:t>
      </w:r>
      <w:r w:rsidR="00423201" w:rsidRPr="00D12DB4">
        <w:rPr>
          <w:rFonts w:ascii="Times New Roman" w:eastAsia="Calibri" w:hAnsi="Times New Roman" w:cs="Times New Roman"/>
          <w:sz w:val="24"/>
          <w:szCs w:val="24"/>
        </w:rPr>
        <w:t>,</w:t>
      </w:r>
      <w:r w:rsidRPr="00D12DB4">
        <w:rPr>
          <w:rFonts w:ascii="Times New Roman" w:eastAsia="Calibri" w:hAnsi="Times New Roman" w:cs="Times New Roman"/>
          <w:sz w:val="24"/>
          <w:szCs w:val="24"/>
        </w:rPr>
        <w:t xml:space="preserve"> var tikt izmantota tikai tad, ja to īpaši paredz datu pārzinim saistoši tiesību akti. Tāpat tiesību aktos ir jābūt definētam, kas tiek saprasts ar sabiedrības interesēm. </w:t>
      </w:r>
      <w:r w:rsidRPr="00D12DB4">
        <w:rPr>
          <w:rFonts w:ascii="Times New Roman" w:eastAsia="Calibri" w:hAnsi="Times New Roman" w:cs="Times New Roman"/>
          <w:sz w:val="24"/>
          <w:szCs w:val="24"/>
        </w:rPr>
        <w:lastRenderedPageBreak/>
        <w:t>EDAK arī norāda, ka datu nodošanai trešajai valstij nepietiek ar pamatojumu, ka tas kalpos trešās valsts sabiedrības interešu nodrošināšanai, piemēram, gadījumā, kad trešā valsts pieprasa informāciju, lai izmeklētu pārkāpumus cīņai ar terorismu. Šo izņēmumu var izmantot, ja datu nodošanu paredz (atļauj) ES vai dalībvalsts tiesību akti, kas ir saistoši pārzinim un tas var ietekmēt paritātes principa (</w:t>
      </w:r>
      <w:proofErr w:type="spellStart"/>
      <w:r w:rsidRPr="00D12DB4">
        <w:rPr>
          <w:rFonts w:ascii="Times New Roman" w:eastAsia="Calibri" w:hAnsi="Times New Roman" w:cs="Times New Roman"/>
          <w:sz w:val="24"/>
          <w:szCs w:val="24"/>
        </w:rPr>
        <w:t>reciprocity</w:t>
      </w:r>
      <w:proofErr w:type="spellEnd"/>
      <w:r w:rsidRPr="00D12DB4">
        <w:rPr>
          <w:rFonts w:ascii="Times New Roman" w:eastAsia="Calibri" w:hAnsi="Times New Roman" w:cs="Times New Roman"/>
          <w:sz w:val="24"/>
          <w:szCs w:val="24"/>
        </w:rPr>
        <w:t xml:space="preserve">) ievērošanu starptautiskās sadarbības jomā. </w:t>
      </w:r>
    </w:p>
    <w:p w14:paraId="06C437C2" w14:textId="77777777" w:rsidR="00BF091E" w:rsidRPr="00D12DB4" w:rsidRDefault="00815469" w:rsidP="00CC2ACE">
      <w:pPr>
        <w:spacing w:before="120" w:after="120"/>
        <w:ind w:left="709" w:firstLine="709"/>
        <w:jc w:val="both"/>
        <w:rPr>
          <w:rFonts w:ascii="Times New Roman" w:eastAsia="Calibri" w:hAnsi="Times New Roman" w:cs="Times New Roman"/>
          <w:sz w:val="24"/>
          <w:szCs w:val="24"/>
        </w:rPr>
      </w:pPr>
      <w:r w:rsidRPr="00D12DB4">
        <w:rPr>
          <w:rFonts w:ascii="Times New Roman" w:eastAsia="Calibri" w:hAnsi="Times New Roman" w:cs="Times New Roman"/>
          <w:sz w:val="24"/>
          <w:szCs w:val="24"/>
        </w:rPr>
        <w:t>Uzraugošajām iestādēm</w:t>
      </w:r>
      <w:r w:rsidR="00A97C00" w:rsidRPr="00D12DB4">
        <w:rPr>
          <w:rFonts w:ascii="Times New Roman" w:eastAsia="Calibri" w:hAnsi="Times New Roman" w:cs="Times New Roman"/>
          <w:sz w:val="24"/>
          <w:szCs w:val="24"/>
        </w:rPr>
        <w:t xml:space="preserve"> </w:t>
      </w:r>
      <w:r w:rsidRPr="00D12DB4">
        <w:rPr>
          <w:rFonts w:ascii="Times New Roman" w:eastAsia="Calibri" w:hAnsi="Times New Roman" w:cs="Times New Roman"/>
          <w:sz w:val="24"/>
          <w:szCs w:val="24"/>
        </w:rPr>
        <w:t>jā</w:t>
      </w:r>
      <w:r w:rsidR="00A97C00" w:rsidRPr="00D12DB4">
        <w:rPr>
          <w:rFonts w:ascii="Times New Roman" w:eastAsia="Calibri" w:hAnsi="Times New Roman" w:cs="Times New Roman"/>
          <w:sz w:val="24"/>
          <w:szCs w:val="24"/>
        </w:rPr>
        <w:t>izvērtē katr</w:t>
      </w:r>
      <w:r w:rsidRPr="00D12DB4">
        <w:rPr>
          <w:rFonts w:ascii="Times New Roman" w:eastAsia="Calibri" w:hAnsi="Times New Roman" w:cs="Times New Roman"/>
          <w:sz w:val="24"/>
          <w:szCs w:val="24"/>
        </w:rPr>
        <w:t>s</w:t>
      </w:r>
      <w:r w:rsidR="00A97C00" w:rsidRPr="00D12DB4">
        <w:rPr>
          <w:rFonts w:ascii="Times New Roman" w:eastAsia="Calibri" w:hAnsi="Times New Roman" w:cs="Times New Roman"/>
          <w:sz w:val="24"/>
          <w:szCs w:val="24"/>
        </w:rPr>
        <w:t xml:space="preserve"> informācijas pieprasījum</w:t>
      </w:r>
      <w:r w:rsidRPr="00D12DB4">
        <w:rPr>
          <w:rFonts w:ascii="Times New Roman" w:eastAsia="Calibri" w:hAnsi="Times New Roman" w:cs="Times New Roman"/>
          <w:sz w:val="24"/>
          <w:szCs w:val="24"/>
        </w:rPr>
        <w:t>s</w:t>
      </w:r>
      <w:r w:rsidR="00A97C00" w:rsidRPr="00D12DB4">
        <w:rPr>
          <w:rFonts w:ascii="Times New Roman" w:eastAsia="Calibri" w:hAnsi="Times New Roman" w:cs="Times New Roman"/>
          <w:sz w:val="24"/>
          <w:szCs w:val="24"/>
        </w:rPr>
        <w:t xml:space="preserve"> (ja tas skar informācijas apmaiņu ar</w:t>
      </w:r>
      <w:r w:rsidR="00BF091E" w:rsidRPr="00D12DB4">
        <w:rPr>
          <w:rFonts w:ascii="Times New Roman" w:eastAsia="Calibri" w:hAnsi="Times New Roman" w:cs="Times New Roman"/>
          <w:sz w:val="24"/>
          <w:szCs w:val="24"/>
        </w:rPr>
        <w:t xml:space="preserve"> fizisku</w:t>
      </w:r>
      <w:r w:rsidR="00A97C00" w:rsidRPr="00D12DB4">
        <w:rPr>
          <w:rFonts w:ascii="Times New Roman" w:eastAsia="Calibri" w:hAnsi="Times New Roman" w:cs="Times New Roman"/>
          <w:sz w:val="24"/>
          <w:szCs w:val="24"/>
        </w:rPr>
        <w:t xml:space="preserve"> personu datiem) un </w:t>
      </w:r>
      <w:r w:rsidRPr="00D12DB4">
        <w:rPr>
          <w:rFonts w:ascii="Times New Roman" w:eastAsia="Calibri" w:hAnsi="Times New Roman" w:cs="Times New Roman"/>
          <w:sz w:val="24"/>
          <w:szCs w:val="24"/>
        </w:rPr>
        <w:t>jāiz</w:t>
      </w:r>
      <w:r w:rsidR="00A97C00" w:rsidRPr="00D12DB4">
        <w:rPr>
          <w:rFonts w:ascii="Times New Roman" w:eastAsia="Calibri" w:hAnsi="Times New Roman" w:cs="Times New Roman"/>
          <w:sz w:val="24"/>
          <w:szCs w:val="24"/>
        </w:rPr>
        <w:t xml:space="preserve">analizē, vai uz to būtu attiecināma </w:t>
      </w:r>
      <w:r w:rsidRPr="00D12DB4">
        <w:rPr>
          <w:rFonts w:ascii="Times New Roman" w:eastAsia="Calibri" w:hAnsi="Times New Roman" w:cs="Times New Roman"/>
          <w:sz w:val="24"/>
          <w:szCs w:val="24"/>
        </w:rPr>
        <w:t>Regulas 2016/679</w:t>
      </w:r>
      <w:r w:rsidR="00A97C00" w:rsidRPr="00D12DB4">
        <w:rPr>
          <w:rFonts w:ascii="Times New Roman" w:eastAsia="Calibri" w:hAnsi="Times New Roman" w:cs="Times New Roman"/>
          <w:sz w:val="24"/>
          <w:szCs w:val="24"/>
        </w:rPr>
        <w:t xml:space="preserve"> 49. pantā paredzētā atkāpe par svarīgiem iemesliem sabiedrības interesēs.</w:t>
      </w:r>
    </w:p>
    <w:p w14:paraId="309BB4BE" w14:textId="43417086" w:rsidR="00B25519" w:rsidRPr="00D12DB4" w:rsidRDefault="00A97C00" w:rsidP="00D04A2C">
      <w:pPr>
        <w:spacing w:before="120" w:after="120"/>
        <w:ind w:left="709" w:firstLine="709"/>
        <w:jc w:val="both"/>
        <w:rPr>
          <w:rFonts w:ascii="Times New Roman" w:eastAsia="Calibri" w:hAnsi="Times New Roman" w:cs="Times New Roman"/>
          <w:sz w:val="24"/>
          <w:szCs w:val="24"/>
        </w:rPr>
      </w:pPr>
      <w:r w:rsidRPr="00D12DB4">
        <w:rPr>
          <w:rFonts w:ascii="Times New Roman" w:eastAsia="Calibri" w:hAnsi="Times New Roman" w:cs="Times New Roman"/>
          <w:sz w:val="24"/>
          <w:szCs w:val="24"/>
        </w:rPr>
        <w:t xml:space="preserve">Lai novērstu jebkādas problēmas ar tiesību normu interpretēšanu, </w:t>
      </w:r>
      <w:r w:rsidR="00BF091E" w:rsidRPr="00D12DB4">
        <w:rPr>
          <w:rFonts w:ascii="Times New Roman" w:eastAsia="Calibri" w:hAnsi="Times New Roman" w:cs="Times New Roman"/>
          <w:sz w:val="24"/>
          <w:szCs w:val="24"/>
        </w:rPr>
        <w:t xml:space="preserve">uzraugošajām iestādēm </w:t>
      </w:r>
      <w:r w:rsidR="004C2558" w:rsidRPr="00D12DB4">
        <w:rPr>
          <w:rFonts w:ascii="Times New Roman" w:eastAsia="Calibri" w:hAnsi="Times New Roman" w:cs="Times New Roman"/>
          <w:sz w:val="24"/>
          <w:szCs w:val="24"/>
        </w:rPr>
        <w:t>savu darbību regulējošajos normatīvajos aktos</w:t>
      </w:r>
      <w:r w:rsidRPr="00D12DB4">
        <w:rPr>
          <w:rFonts w:ascii="Times New Roman" w:eastAsia="Calibri" w:hAnsi="Times New Roman" w:cs="Times New Roman"/>
          <w:sz w:val="24"/>
          <w:szCs w:val="24"/>
        </w:rPr>
        <w:t xml:space="preserve"> </w:t>
      </w:r>
      <w:r w:rsidR="00BF091E" w:rsidRPr="00D12DB4">
        <w:rPr>
          <w:rFonts w:ascii="Times New Roman" w:eastAsia="Calibri" w:hAnsi="Times New Roman" w:cs="Times New Roman"/>
          <w:sz w:val="24"/>
          <w:szCs w:val="24"/>
        </w:rPr>
        <w:t xml:space="preserve">būtu </w:t>
      </w:r>
      <w:r w:rsidR="004C2558" w:rsidRPr="00D12DB4">
        <w:rPr>
          <w:rFonts w:ascii="Times New Roman" w:eastAsia="Calibri" w:hAnsi="Times New Roman" w:cs="Times New Roman"/>
          <w:sz w:val="24"/>
          <w:szCs w:val="24"/>
        </w:rPr>
        <w:t>jānosaka</w:t>
      </w:r>
      <w:r w:rsidRPr="00D12DB4">
        <w:rPr>
          <w:rFonts w:ascii="Times New Roman" w:eastAsia="Calibri" w:hAnsi="Times New Roman" w:cs="Times New Roman"/>
          <w:sz w:val="24"/>
          <w:szCs w:val="24"/>
        </w:rPr>
        <w:t xml:space="preserve">, </w:t>
      </w:r>
      <w:r w:rsidR="004C2558" w:rsidRPr="00D12DB4">
        <w:rPr>
          <w:rFonts w:ascii="Times New Roman" w:eastAsia="Calibri" w:hAnsi="Times New Roman" w:cs="Times New Roman"/>
          <w:sz w:val="24"/>
          <w:szCs w:val="24"/>
        </w:rPr>
        <w:t>ka uzraugošās iestādes darbības savu funkciju nodrošināšanai</w:t>
      </w:r>
      <w:r w:rsidRPr="00D12DB4">
        <w:rPr>
          <w:rFonts w:ascii="Times New Roman" w:eastAsia="Calibri" w:hAnsi="Times New Roman" w:cs="Times New Roman"/>
          <w:sz w:val="24"/>
          <w:szCs w:val="24"/>
        </w:rPr>
        <w:t xml:space="preserve"> ir uzskatāmas par sabiedrības interešu nodrošināšanu</w:t>
      </w:r>
      <w:r w:rsidR="009810CB">
        <w:rPr>
          <w:rFonts w:ascii="Times New Roman" w:eastAsia="Calibri" w:hAnsi="Times New Roman" w:cs="Times New Roman"/>
          <w:sz w:val="24"/>
          <w:szCs w:val="24"/>
        </w:rPr>
        <w:t xml:space="preserve"> (minētais </w:t>
      </w:r>
      <w:r w:rsidR="009810CB" w:rsidRPr="009810CB">
        <w:rPr>
          <w:rFonts w:ascii="Times New Roman" w:eastAsia="Calibri" w:hAnsi="Times New Roman" w:cs="Times New Roman"/>
          <w:sz w:val="24"/>
          <w:szCs w:val="24"/>
        </w:rPr>
        <w:t>neattiecas uz valsts pārvaldes iestādēm, jo tas</w:t>
      </w:r>
      <w:r w:rsidR="009810CB">
        <w:rPr>
          <w:rFonts w:ascii="Times New Roman" w:eastAsia="Calibri" w:hAnsi="Times New Roman" w:cs="Times New Roman"/>
          <w:sz w:val="24"/>
          <w:szCs w:val="24"/>
        </w:rPr>
        <w:t xml:space="preserve">, ka valsts pārvalde </w:t>
      </w:r>
      <w:r w:rsidR="009810CB" w:rsidRPr="009810CB">
        <w:rPr>
          <w:rFonts w:ascii="Times New Roman" w:eastAsia="Calibri" w:hAnsi="Times New Roman" w:cs="Times New Roman"/>
          <w:sz w:val="24"/>
          <w:szCs w:val="24"/>
        </w:rPr>
        <w:t>darbojas sabiedrības interesēs</w:t>
      </w:r>
      <w:r w:rsidR="009810CB">
        <w:rPr>
          <w:rFonts w:ascii="Times New Roman" w:eastAsia="Calibri" w:hAnsi="Times New Roman" w:cs="Times New Roman"/>
          <w:sz w:val="24"/>
          <w:szCs w:val="24"/>
        </w:rPr>
        <w:t>,</w:t>
      </w:r>
      <w:r w:rsidR="009810CB" w:rsidRPr="009810CB">
        <w:rPr>
          <w:rFonts w:ascii="Times New Roman" w:eastAsia="Calibri" w:hAnsi="Times New Roman" w:cs="Times New Roman"/>
          <w:sz w:val="24"/>
          <w:szCs w:val="24"/>
        </w:rPr>
        <w:t xml:space="preserve"> izriet no Valsts pārvaldes iekārtas likuma 10.</w:t>
      </w:r>
      <w:r w:rsidR="009810CB">
        <w:rPr>
          <w:rFonts w:ascii="Times New Roman" w:eastAsia="Calibri" w:hAnsi="Times New Roman" w:cs="Times New Roman"/>
          <w:sz w:val="24"/>
          <w:szCs w:val="24"/>
        </w:rPr>
        <w:t> </w:t>
      </w:r>
      <w:r w:rsidR="009810CB" w:rsidRPr="009810CB">
        <w:rPr>
          <w:rFonts w:ascii="Times New Roman" w:eastAsia="Calibri" w:hAnsi="Times New Roman" w:cs="Times New Roman"/>
          <w:sz w:val="24"/>
          <w:szCs w:val="24"/>
        </w:rPr>
        <w:t>panta trešā</w:t>
      </w:r>
      <w:r w:rsidR="009810CB">
        <w:rPr>
          <w:rFonts w:ascii="Times New Roman" w:eastAsia="Calibri" w:hAnsi="Times New Roman" w:cs="Times New Roman"/>
          <w:sz w:val="24"/>
          <w:szCs w:val="24"/>
        </w:rPr>
        <w:t>s</w:t>
      </w:r>
      <w:r w:rsidR="009810CB" w:rsidRPr="009810CB">
        <w:rPr>
          <w:rFonts w:ascii="Times New Roman" w:eastAsia="Calibri" w:hAnsi="Times New Roman" w:cs="Times New Roman"/>
          <w:sz w:val="24"/>
          <w:szCs w:val="24"/>
        </w:rPr>
        <w:t xml:space="preserve"> daļas</w:t>
      </w:r>
      <w:r w:rsidR="009810CB">
        <w:rPr>
          <w:rFonts w:ascii="Times New Roman" w:eastAsia="Calibri" w:hAnsi="Times New Roman" w:cs="Times New Roman"/>
          <w:sz w:val="24"/>
          <w:szCs w:val="24"/>
        </w:rPr>
        <w:t>)</w:t>
      </w:r>
      <w:r w:rsidRPr="00D12DB4">
        <w:rPr>
          <w:rFonts w:ascii="Times New Roman" w:eastAsia="Calibri" w:hAnsi="Times New Roman" w:cs="Times New Roman"/>
          <w:sz w:val="24"/>
          <w:szCs w:val="24"/>
        </w:rPr>
        <w:t>.</w:t>
      </w:r>
      <w:r w:rsidR="004C2558" w:rsidRPr="00D12DB4">
        <w:rPr>
          <w:rFonts w:ascii="Times New Roman" w:eastAsia="Calibri" w:hAnsi="Times New Roman" w:cs="Times New Roman"/>
          <w:sz w:val="24"/>
          <w:szCs w:val="24"/>
        </w:rPr>
        <w:t xml:space="preserve"> </w:t>
      </w:r>
    </w:p>
    <w:p w14:paraId="60719764" w14:textId="77777777" w:rsidR="00604957" w:rsidRPr="00D12DB4" w:rsidRDefault="009C4F73" w:rsidP="006D7026">
      <w:pPr>
        <w:pStyle w:val="Sarakstarindkopa"/>
        <w:numPr>
          <w:ilvl w:val="1"/>
          <w:numId w:val="11"/>
        </w:numPr>
        <w:spacing w:before="120" w:after="120"/>
        <w:ind w:left="709" w:hanging="425"/>
        <w:jc w:val="both"/>
        <w:rPr>
          <w:rFonts w:ascii="Times New Roman" w:eastAsia="Calibri" w:hAnsi="Times New Roman" w:cs="Times New Roman"/>
          <w:sz w:val="24"/>
          <w:szCs w:val="24"/>
        </w:rPr>
      </w:pPr>
      <w:r w:rsidRPr="00D12DB4">
        <w:rPr>
          <w:rFonts w:ascii="Times New Roman" w:hAnsi="Times New Roman" w:cs="Times New Roman"/>
          <w:bCs/>
          <w:sz w:val="24"/>
          <w:szCs w:val="24"/>
        </w:rPr>
        <w:t xml:space="preserve">Normatīvie akti konkrēti nenosaka tiesības KD un uzraugošajām iestādēm veikt </w:t>
      </w:r>
      <w:r w:rsidR="004930B5" w:rsidRPr="00D12DB4">
        <w:rPr>
          <w:rFonts w:ascii="Times New Roman" w:hAnsi="Times New Roman" w:cs="Times New Roman"/>
          <w:bCs/>
          <w:sz w:val="24"/>
          <w:szCs w:val="24"/>
        </w:rPr>
        <w:t>informācijas pieprasījumus</w:t>
      </w:r>
      <w:r w:rsidRPr="00D12DB4">
        <w:rPr>
          <w:rFonts w:ascii="Times New Roman" w:hAnsi="Times New Roman" w:cs="Times New Roman"/>
          <w:bCs/>
          <w:sz w:val="24"/>
          <w:szCs w:val="24"/>
        </w:rPr>
        <w:t xml:space="preserve"> ārvalstu uzraugošo iestāžu vārdā, </w:t>
      </w:r>
      <w:r w:rsidR="004D1ED1" w:rsidRPr="00D12DB4">
        <w:rPr>
          <w:rFonts w:ascii="Times New Roman" w:hAnsi="Times New Roman" w:cs="Times New Roman"/>
          <w:bCs/>
          <w:sz w:val="24"/>
          <w:szCs w:val="24"/>
        </w:rPr>
        <w:t xml:space="preserve">taču </w:t>
      </w:r>
      <w:r w:rsidR="00604957" w:rsidRPr="00D12DB4">
        <w:rPr>
          <w:rFonts w:ascii="Times New Roman" w:hAnsi="Times New Roman" w:cs="Times New Roman"/>
          <w:bCs/>
          <w:sz w:val="24"/>
          <w:szCs w:val="24"/>
        </w:rPr>
        <w:t>NILLTFNL 46. panta p</w:t>
      </w:r>
      <w:r w:rsidR="00275213" w:rsidRPr="00D12DB4">
        <w:rPr>
          <w:rFonts w:ascii="Times New Roman" w:hAnsi="Times New Roman" w:cs="Times New Roman"/>
          <w:bCs/>
          <w:sz w:val="24"/>
          <w:szCs w:val="24"/>
        </w:rPr>
        <w:t>irmās daļas 7. punktā noteiktais pienākums veikt informācijas apmaiņu</w:t>
      </w:r>
      <w:r w:rsidR="00351665" w:rsidRPr="00D12DB4">
        <w:rPr>
          <w:rFonts w:ascii="Times New Roman" w:hAnsi="Times New Roman" w:cs="Times New Roman"/>
          <w:bCs/>
          <w:sz w:val="24"/>
          <w:szCs w:val="24"/>
        </w:rPr>
        <w:t xml:space="preserve"> sevī ietver arī pienākumu veikt pieprasījumus ārvalstu partneru vārdā. </w:t>
      </w:r>
    </w:p>
    <w:p w14:paraId="00C9C447" w14:textId="77777777" w:rsidR="00E62E3A" w:rsidRPr="00D12DB4" w:rsidRDefault="00E62E3A" w:rsidP="00CC2ACE">
      <w:pPr>
        <w:spacing w:before="120" w:after="120"/>
        <w:jc w:val="both"/>
        <w:rPr>
          <w:rFonts w:ascii="Times New Roman" w:eastAsia="Calibri" w:hAnsi="Times New Roman" w:cs="Times New Roman"/>
          <w:sz w:val="24"/>
          <w:szCs w:val="24"/>
        </w:rPr>
      </w:pPr>
    </w:p>
    <w:p w14:paraId="577B8F50" w14:textId="77777777" w:rsidR="001D52E8" w:rsidRPr="00D12DB4" w:rsidRDefault="00EB7A5D" w:rsidP="00B25519">
      <w:pPr>
        <w:pStyle w:val="Virsraksts1"/>
        <w:numPr>
          <w:ilvl w:val="0"/>
          <w:numId w:val="11"/>
        </w:numPr>
        <w:spacing w:before="120" w:after="120"/>
        <w:rPr>
          <w:rFonts w:ascii="Times New Roman" w:eastAsia="Calibri" w:hAnsi="Times New Roman" w:cs="Times New Roman"/>
        </w:rPr>
      </w:pPr>
      <w:r w:rsidRPr="00D12DB4">
        <w:rPr>
          <w:rFonts w:ascii="Times New Roman" w:eastAsia="Calibri" w:hAnsi="Times New Roman" w:cs="Times New Roman"/>
          <w:b/>
          <w:color w:val="7030A0"/>
        </w:rPr>
        <w:t>Nepieciešamās darbības FATF 40. rekomendācijas ieviešanai</w:t>
      </w:r>
    </w:p>
    <w:p w14:paraId="3A35E0C2" w14:textId="3FA4C55D" w:rsidR="00EB7A5D" w:rsidRPr="00D12DB4" w:rsidRDefault="00E83529" w:rsidP="00CC2ACE">
      <w:pPr>
        <w:spacing w:before="120" w:after="120"/>
        <w:ind w:firstLine="851"/>
        <w:jc w:val="both"/>
        <w:rPr>
          <w:rFonts w:ascii="Times New Roman" w:hAnsi="Times New Roman" w:cs="Times New Roman"/>
          <w:iCs/>
          <w:sz w:val="24"/>
          <w:szCs w:val="24"/>
        </w:rPr>
      </w:pPr>
      <w:r w:rsidRPr="00D12DB4">
        <w:rPr>
          <w:rFonts w:ascii="Times New Roman" w:hAnsi="Times New Roman" w:cs="Times New Roman"/>
          <w:iCs/>
          <w:sz w:val="24"/>
          <w:szCs w:val="24"/>
        </w:rPr>
        <w:t>Ņemot vērā</w:t>
      </w:r>
      <w:r w:rsidR="00447EB0" w:rsidRPr="00D12DB4">
        <w:rPr>
          <w:rFonts w:ascii="Times New Roman" w:hAnsi="Times New Roman" w:cs="Times New Roman"/>
          <w:iCs/>
          <w:sz w:val="24"/>
          <w:szCs w:val="24"/>
        </w:rPr>
        <w:t xml:space="preserve"> NILLTFNL 46. panta pirmās daļas 7. punkta regulējumu, kurš nosaka pienākumu uzraugošajām iestādēm veikt informācijas apmaiņu ar ārvalstu </w:t>
      </w:r>
      <w:r w:rsidR="00447EB0" w:rsidRPr="00735027">
        <w:rPr>
          <w:rFonts w:ascii="Times New Roman" w:hAnsi="Times New Roman" w:cs="Times New Roman"/>
          <w:iCs/>
          <w:sz w:val="24"/>
          <w:szCs w:val="24"/>
        </w:rPr>
        <w:t>iestādēm</w:t>
      </w:r>
      <w:r w:rsidRPr="00735027">
        <w:rPr>
          <w:rFonts w:ascii="Times New Roman" w:hAnsi="Times New Roman" w:cs="Times New Roman"/>
          <w:iCs/>
          <w:sz w:val="24"/>
          <w:szCs w:val="24"/>
        </w:rPr>
        <w:t>, ievērojot uzraugošo iestāžu sniegto informāciju par FATF 40. rekomendācijas prasību ievērošanu</w:t>
      </w:r>
      <w:r w:rsidR="006230AE" w:rsidRPr="00735027">
        <w:rPr>
          <w:rFonts w:ascii="Times New Roman" w:hAnsi="Times New Roman" w:cs="Times New Roman"/>
          <w:iCs/>
          <w:sz w:val="24"/>
          <w:szCs w:val="24"/>
        </w:rPr>
        <w:t>, proti to, ka pastāv trūkumi regulējuma praktiskajā piemērošanā</w:t>
      </w:r>
      <w:r w:rsidR="00447EB0" w:rsidRPr="00735027">
        <w:rPr>
          <w:rFonts w:ascii="Times New Roman" w:hAnsi="Times New Roman" w:cs="Times New Roman"/>
          <w:iCs/>
          <w:sz w:val="24"/>
          <w:szCs w:val="24"/>
        </w:rPr>
        <w:t xml:space="preserve">, </w:t>
      </w:r>
      <w:r w:rsidR="00364CC1" w:rsidRPr="00735027">
        <w:rPr>
          <w:rFonts w:ascii="Times New Roman" w:hAnsi="Times New Roman" w:cs="Times New Roman"/>
          <w:iCs/>
          <w:sz w:val="24"/>
          <w:szCs w:val="24"/>
        </w:rPr>
        <w:t>kā arī ievērojot personas datu a</w:t>
      </w:r>
      <w:r w:rsidR="00364CC1" w:rsidRPr="00D12DB4">
        <w:rPr>
          <w:rFonts w:ascii="Times New Roman" w:eastAsia="Times New Roman" w:hAnsi="Times New Roman" w:cs="Times New Roman"/>
          <w:bCs/>
          <w:sz w:val="24"/>
          <w:szCs w:val="24"/>
          <w:lang w:eastAsia="lv-LV"/>
        </w:rPr>
        <w:t>izsardzības pamatprincipus</w:t>
      </w:r>
      <w:r w:rsidR="00447EB0" w:rsidRPr="00D12DB4">
        <w:rPr>
          <w:rFonts w:ascii="Times New Roman" w:eastAsia="Times New Roman" w:hAnsi="Times New Roman" w:cs="Times New Roman"/>
          <w:bCs/>
          <w:sz w:val="24"/>
          <w:szCs w:val="24"/>
          <w:lang w:eastAsia="lv-LV"/>
        </w:rPr>
        <w:t xml:space="preserve">, secināms, ka </w:t>
      </w:r>
      <w:r w:rsidR="00447EB0" w:rsidRPr="00D12DB4">
        <w:rPr>
          <w:rFonts w:ascii="Times New Roman" w:hAnsi="Times New Roman" w:cs="Times New Roman"/>
          <w:sz w:val="24"/>
          <w:szCs w:val="24"/>
        </w:rPr>
        <w:t>pastāvošais</w:t>
      </w:r>
      <w:r w:rsidR="00447EB0" w:rsidRPr="00D12DB4">
        <w:rPr>
          <w:rFonts w:ascii="Times New Roman" w:hAnsi="Times New Roman" w:cs="Times New Roman"/>
          <w:iCs/>
          <w:sz w:val="24"/>
          <w:szCs w:val="24"/>
        </w:rPr>
        <w:t xml:space="preserve"> regulējums ļauj uzraugošajām iestādēm pilnvērtīgi veikt starptautisko sadarbību</w:t>
      </w:r>
      <w:r w:rsidR="00447EB0" w:rsidRPr="00D12DB4">
        <w:rPr>
          <w:rFonts w:ascii="Times New Roman" w:hAnsi="Times New Roman" w:cs="Times New Roman"/>
          <w:sz w:val="24"/>
          <w:szCs w:val="24"/>
        </w:rPr>
        <w:t xml:space="preserve"> NILLTF novēršanas un apkarošanas jomā</w:t>
      </w:r>
      <w:r w:rsidR="00447EB0" w:rsidRPr="00D12DB4">
        <w:rPr>
          <w:rFonts w:ascii="Times New Roman" w:hAnsi="Times New Roman" w:cs="Times New Roman"/>
          <w:iCs/>
          <w:sz w:val="24"/>
          <w:szCs w:val="24"/>
        </w:rPr>
        <w:t xml:space="preserve">. </w:t>
      </w:r>
    </w:p>
    <w:p w14:paraId="3FFC389C" w14:textId="77777777" w:rsidR="00C64703" w:rsidRPr="00D12DB4" w:rsidRDefault="00EB7A5D" w:rsidP="00CC2ACE">
      <w:pPr>
        <w:spacing w:before="120" w:after="120"/>
        <w:ind w:firstLine="851"/>
        <w:jc w:val="both"/>
        <w:rPr>
          <w:rFonts w:ascii="Times New Roman" w:hAnsi="Times New Roman" w:cs="Times New Roman"/>
          <w:b/>
          <w:iCs/>
          <w:sz w:val="24"/>
          <w:szCs w:val="24"/>
        </w:rPr>
      </w:pPr>
      <w:r w:rsidRPr="00D12DB4">
        <w:rPr>
          <w:rFonts w:ascii="Times New Roman" w:hAnsi="Times New Roman" w:cs="Times New Roman"/>
          <w:b/>
          <w:iCs/>
          <w:sz w:val="24"/>
          <w:szCs w:val="24"/>
        </w:rPr>
        <w:t>L</w:t>
      </w:r>
      <w:r w:rsidR="002C5AB6" w:rsidRPr="00D12DB4">
        <w:rPr>
          <w:rFonts w:ascii="Times New Roman" w:hAnsi="Times New Roman" w:cs="Times New Roman"/>
          <w:b/>
          <w:iCs/>
          <w:sz w:val="24"/>
          <w:szCs w:val="24"/>
        </w:rPr>
        <w:t>ai nodrošinātu normatīvā regulējuma atbilstību FATF 40. rekomendācijas prasībām, uzraugošajām iestādēm nepieciešams</w:t>
      </w:r>
      <w:r w:rsidRPr="00D12DB4">
        <w:rPr>
          <w:rFonts w:ascii="Times New Roman" w:hAnsi="Times New Roman" w:cs="Times New Roman"/>
          <w:b/>
          <w:iCs/>
          <w:sz w:val="24"/>
          <w:szCs w:val="24"/>
        </w:rPr>
        <w:t>:</w:t>
      </w:r>
      <w:r w:rsidR="002C5AB6" w:rsidRPr="00D12DB4">
        <w:rPr>
          <w:rFonts w:ascii="Times New Roman" w:hAnsi="Times New Roman" w:cs="Times New Roman"/>
          <w:b/>
          <w:iCs/>
          <w:sz w:val="24"/>
          <w:szCs w:val="24"/>
        </w:rPr>
        <w:t xml:space="preserve"> </w:t>
      </w:r>
    </w:p>
    <w:p w14:paraId="4A14931C" w14:textId="77777777" w:rsidR="00C64703" w:rsidRPr="00D12DB4" w:rsidRDefault="00C64703" w:rsidP="00180BC2">
      <w:pPr>
        <w:pStyle w:val="Sarakstarindkopa"/>
        <w:numPr>
          <w:ilvl w:val="0"/>
          <w:numId w:val="15"/>
        </w:numPr>
        <w:spacing w:before="120" w:after="120"/>
        <w:jc w:val="both"/>
        <w:rPr>
          <w:rFonts w:ascii="Times New Roman" w:hAnsi="Times New Roman" w:cs="Times New Roman"/>
          <w:iCs/>
          <w:vanish/>
          <w:sz w:val="24"/>
          <w:szCs w:val="24"/>
        </w:rPr>
      </w:pPr>
    </w:p>
    <w:p w14:paraId="125C7C3B" w14:textId="77777777" w:rsidR="00C64703" w:rsidRPr="00D12DB4" w:rsidRDefault="00C64703" w:rsidP="00180BC2">
      <w:pPr>
        <w:pStyle w:val="Sarakstarindkopa"/>
        <w:numPr>
          <w:ilvl w:val="0"/>
          <w:numId w:val="15"/>
        </w:numPr>
        <w:spacing w:before="120" w:after="120"/>
        <w:jc w:val="both"/>
        <w:rPr>
          <w:rFonts w:ascii="Times New Roman" w:hAnsi="Times New Roman" w:cs="Times New Roman"/>
          <w:iCs/>
          <w:vanish/>
          <w:sz w:val="24"/>
          <w:szCs w:val="24"/>
        </w:rPr>
      </w:pPr>
    </w:p>
    <w:p w14:paraId="01169BDC" w14:textId="77777777" w:rsidR="00C64703" w:rsidRPr="00D12DB4" w:rsidRDefault="00C64703" w:rsidP="00180BC2">
      <w:pPr>
        <w:pStyle w:val="Sarakstarindkopa"/>
        <w:numPr>
          <w:ilvl w:val="0"/>
          <w:numId w:val="15"/>
        </w:numPr>
        <w:spacing w:before="120" w:after="120"/>
        <w:jc w:val="both"/>
        <w:rPr>
          <w:rFonts w:ascii="Times New Roman" w:hAnsi="Times New Roman" w:cs="Times New Roman"/>
          <w:iCs/>
          <w:vanish/>
          <w:sz w:val="24"/>
          <w:szCs w:val="24"/>
        </w:rPr>
      </w:pPr>
    </w:p>
    <w:p w14:paraId="293BEF00" w14:textId="4E61C181" w:rsidR="002B2ACF" w:rsidRPr="009810CB" w:rsidRDefault="00C64703" w:rsidP="00A43878">
      <w:pPr>
        <w:pStyle w:val="Sarakstarindkopa"/>
        <w:numPr>
          <w:ilvl w:val="1"/>
          <w:numId w:val="15"/>
        </w:numPr>
        <w:spacing w:before="120" w:after="120"/>
        <w:ind w:left="709" w:hanging="425"/>
        <w:jc w:val="both"/>
        <w:rPr>
          <w:rFonts w:ascii="Times New Roman" w:hAnsi="Times New Roman" w:cs="Times New Roman"/>
          <w:iCs/>
          <w:sz w:val="24"/>
          <w:szCs w:val="24"/>
        </w:rPr>
      </w:pPr>
      <w:r w:rsidRPr="00A43878">
        <w:rPr>
          <w:rFonts w:ascii="Times New Roman" w:hAnsi="Times New Roman" w:cs="Times New Roman"/>
          <w:iCs/>
          <w:sz w:val="24"/>
          <w:szCs w:val="24"/>
        </w:rPr>
        <w:t>Izveidot iekšējo sistēmu informācijas apmaiņas ar ārvalstu iestādēm nodrošināšanai, lai iedzīvinātu likuma prasības</w:t>
      </w:r>
      <w:r w:rsidR="00A43878">
        <w:rPr>
          <w:rFonts w:ascii="Times New Roman" w:hAnsi="Times New Roman" w:cs="Times New Roman"/>
          <w:iCs/>
          <w:sz w:val="24"/>
          <w:szCs w:val="24"/>
        </w:rPr>
        <w:t>. I</w:t>
      </w:r>
      <w:r w:rsidR="00A604B5" w:rsidRPr="009810CB">
        <w:rPr>
          <w:rFonts w:ascii="Times New Roman" w:hAnsi="Times New Roman" w:cs="Times New Roman"/>
          <w:iCs/>
          <w:sz w:val="24"/>
          <w:szCs w:val="24"/>
        </w:rPr>
        <w:t>epriekš norādītā mērķa sasniegšanai</w:t>
      </w:r>
      <w:r w:rsidRPr="009810CB">
        <w:rPr>
          <w:rFonts w:ascii="Times New Roman" w:hAnsi="Times New Roman" w:cs="Times New Roman"/>
          <w:iCs/>
          <w:sz w:val="24"/>
          <w:szCs w:val="24"/>
        </w:rPr>
        <w:t xml:space="preserve"> apstiprināt iekšējo</w:t>
      </w:r>
      <w:r w:rsidR="00A604B5" w:rsidRPr="009810CB">
        <w:rPr>
          <w:rFonts w:ascii="Times New Roman" w:hAnsi="Times New Roman" w:cs="Times New Roman"/>
          <w:iCs/>
          <w:sz w:val="24"/>
          <w:szCs w:val="24"/>
        </w:rPr>
        <w:t>s</w:t>
      </w:r>
      <w:r w:rsidRPr="009810CB">
        <w:rPr>
          <w:rFonts w:ascii="Times New Roman" w:hAnsi="Times New Roman" w:cs="Times New Roman"/>
          <w:iCs/>
          <w:sz w:val="24"/>
          <w:szCs w:val="24"/>
        </w:rPr>
        <w:t xml:space="preserve"> normatīvo</w:t>
      </w:r>
      <w:r w:rsidR="00A604B5" w:rsidRPr="009810CB">
        <w:rPr>
          <w:rFonts w:ascii="Times New Roman" w:hAnsi="Times New Roman" w:cs="Times New Roman"/>
          <w:iCs/>
          <w:sz w:val="24"/>
          <w:szCs w:val="24"/>
        </w:rPr>
        <w:t>s</w:t>
      </w:r>
      <w:r w:rsidRPr="009810CB">
        <w:rPr>
          <w:rFonts w:ascii="Times New Roman" w:hAnsi="Times New Roman" w:cs="Times New Roman"/>
          <w:iCs/>
          <w:sz w:val="24"/>
          <w:szCs w:val="24"/>
        </w:rPr>
        <w:t xml:space="preserve"> aktu</w:t>
      </w:r>
      <w:r w:rsidR="00A604B5" w:rsidRPr="009810CB">
        <w:rPr>
          <w:rFonts w:ascii="Times New Roman" w:hAnsi="Times New Roman" w:cs="Times New Roman"/>
          <w:iCs/>
          <w:sz w:val="24"/>
          <w:szCs w:val="24"/>
        </w:rPr>
        <w:t>s</w:t>
      </w:r>
      <w:r w:rsidRPr="009810CB">
        <w:rPr>
          <w:rFonts w:ascii="Times New Roman" w:hAnsi="Times New Roman" w:cs="Times New Roman"/>
          <w:iCs/>
          <w:sz w:val="24"/>
          <w:szCs w:val="24"/>
        </w:rPr>
        <w:t xml:space="preserve"> un apmācīt atbildīgās personas par t</w:t>
      </w:r>
      <w:r w:rsidR="00A604B5" w:rsidRPr="009810CB">
        <w:rPr>
          <w:rFonts w:ascii="Times New Roman" w:hAnsi="Times New Roman" w:cs="Times New Roman"/>
          <w:iCs/>
          <w:sz w:val="24"/>
          <w:szCs w:val="24"/>
        </w:rPr>
        <w:t>o</w:t>
      </w:r>
      <w:r w:rsidRPr="009810CB">
        <w:rPr>
          <w:rFonts w:ascii="Times New Roman" w:hAnsi="Times New Roman" w:cs="Times New Roman"/>
          <w:iCs/>
          <w:sz w:val="24"/>
          <w:szCs w:val="24"/>
        </w:rPr>
        <w:t xml:space="preserve"> piemērošanu</w:t>
      </w:r>
      <w:r w:rsidR="00BE051B">
        <w:rPr>
          <w:rFonts w:ascii="Times New Roman" w:hAnsi="Times New Roman" w:cs="Times New Roman"/>
          <w:iCs/>
          <w:sz w:val="24"/>
          <w:szCs w:val="24"/>
        </w:rPr>
        <w:t>.</w:t>
      </w:r>
    </w:p>
    <w:p w14:paraId="7B4C948F" w14:textId="77777777" w:rsidR="002B2ACF" w:rsidRPr="00D12DB4" w:rsidRDefault="002B2ACF" w:rsidP="00CC2ACE">
      <w:pPr>
        <w:pStyle w:val="Sarakstarindkopa"/>
        <w:spacing w:before="120" w:after="120"/>
        <w:ind w:left="709" w:hanging="425"/>
        <w:rPr>
          <w:rFonts w:ascii="Times New Roman" w:hAnsi="Times New Roman" w:cs="Times New Roman"/>
          <w:iCs/>
          <w:sz w:val="24"/>
          <w:szCs w:val="24"/>
        </w:rPr>
      </w:pPr>
    </w:p>
    <w:p w14:paraId="43EC2FAE" w14:textId="77777777" w:rsidR="002B2ACF" w:rsidRPr="00D12DB4" w:rsidRDefault="002B2ACF" w:rsidP="00CC2ACE">
      <w:pPr>
        <w:pStyle w:val="Sarakstarindkopa"/>
        <w:numPr>
          <w:ilvl w:val="1"/>
          <w:numId w:val="15"/>
        </w:numPr>
        <w:spacing w:before="120" w:after="120"/>
        <w:ind w:left="709" w:hanging="425"/>
        <w:jc w:val="both"/>
        <w:rPr>
          <w:rFonts w:ascii="Times New Roman" w:hAnsi="Times New Roman" w:cs="Times New Roman"/>
          <w:iCs/>
          <w:sz w:val="24"/>
          <w:szCs w:val="24"/>
        </w:rPr>
      </w:pPr>
      <w:r w:rsidRPr="00D12DB4">
        <w:rPr>
          <w:rFonts w:ascii="Times New Roman" w:hAnsi="Times New Roman" w:cs="Times New Roman"/>
          <w:iCs/>
          <w:sz w:val="24"/>
          <w:szCs w:val="24"/>
        </w:rPr>
        <w:t>Iekļaut iekšējos normatīvajos aktos vismaz šādus starptautiskās sadarbības pamatprincipus:</w:t>
      </w:r>
    </w:p>
    <w:p w14:paraId="56EDF842" w14:textId="77777777" w:rsidR="002B2ACF" w:rsidRPr="00D12DB4" w:rsidRDefault="002B2ACF" w:rsidP="00CC2ACE">
      <w:pPr>
        <w:pStyle w:val="Sarakstarindkopa"/>
        <w:numPr>
          <w:ilvl w:val="2"/>
          <w:numId w:val="15"/>
        </w:numPr>
        <w:spacing w:before="120" w:after="120"/>
        <w:ind w:left="1418" w:hanging="709"/>
        <w:jc w:val="both"/>
        <w:rPr>
          <w:rFonts w:ascii="Times New Roman" w:hAnsi="Times New Roman" w:cs="Times New Roman"/>
          <w:iCs/>
          <w:sz w:val="24"/>
          <w:szCs w:val="24"/>
        </w:rPr>
      </w:pPr>
      <w:r w:rsidRPr="00D12DB4">
        <w:rPr>
          <w:rFonts w:ascii="Times New Roman" w:hAnsi="Times New Roman" w:cs="Times New Roman"/>
          <w:iCs/>
          <w:sz w:val="24"/>
          <w:szCs w:val="24"/>
        </w:rPr>
        <w:t xml:space="preserve">Jānosaka ārvalstu partneru saņemto lūgumu </w:t>
      </w:r>
      <w:proofErr w:type="spellStart"/>
      <w:r w:rsidRPr="00D12DB4">
        <w:rPr>
          <w:rFonts w:ascii="Times New Roman" w:hAnsi="Times New Roman" w:cs="Times New Roman"/>
          <w:iCs/>
          <w:sz w:val="24"/>
          <w:szCs w:val="24"/>
        </w:rPr>
        <w:t>prioritizācijas</w:t>
      </w:r>
      <w:proofErr w:type="spellEnd"/>
      <w:r w:rsidRPr="00D12DB4">
        <w:rPr>
          <w:rFonts w:ascii="Times New Roman" w:hAnsi="Times New Roman" w:cs="Times New Roman"/>
          <w:iCs/>
          <w:sz w:val="24"/>
          <w:szCs w:val="24"/>
        </w:rPr>
        <w:t xml:space="preserve"> kārtība. Kārtībā jānosaka, ka tie ārvalstu partneru lūgumi, kas saistās ar aizdomām par noziedzīgi iegūtu līdzekļu legalizāciju vai terorisma finansēšanu, ir jāizpilda </w:t>
      </w:r>
      <w:r w:rsidRPr="00617C41">
        <w:rPr>
          <w:rFonts w:ascii="Times New Roman" w:hAnsi="Times New Roman" w:cs="Times New Roman"/>
          <w:iCs/>
          <w:sz w:val="24"/>
          <w:szCs w:val="24"/>
        </w:rPr>
        <w:t>nekavējoties</w:t>
      </w:r>
      <w:r w:rsidR="008E0623">
        <w:rPr>
          <w:rFonts w:ascii="Times New Roman" w:hAnsi="Times New Roman" w:cs="Times New Roman"/>
          <w:iCs/>
          <w:sz w:val="24"/>
          <w:szCs w:val="24"/>
        </w:rPr>
        <w:t>, bet ne vēlāk kā desmit darba dienu laikā</w:t>
      </w:r>
      <w:r w:rsidRPr="00617C41">
        <w:rPr>
          <w:rFonts w:ascii="Times New Roman" w:hAnsi="Times New Roman" w:cs="Times New Roman"/>
          <w:iCs/>
          <w:sz w:val="24"/>
          <w:szCs w:val="24"/>
        </w:rPr>
        <w:t>.</w:t>
      </w:r>
      <w:r w:rsidRPr="00D12DB4">
        <w:rPr>
          <w:rFonts w:ascii="Times New Roman" w:hAnsi="Times New Roman" w:cs="Times New Roman"/>
          <w:iCs/>
          <w:sz w:val="24"/>
          <w:szCs w:val="24"/>
        </w:rPr>
        <w:t xml:space="preserve"> </w:t>
      </w:r>
    </w:p>
    <w:p w14:paraId="0259D1D9" w14:textId="50368258" w:rsidR="002B2ACF" w:rsidRPr="00617C41" w:rsidRDefault="00A604B5" w:rsidP="00CC2ACE">
      <w:pPr>
        <w:pStyle w:val="Sarakstarindkopa"/>
        <w:numPr>
          <w:ilvl w:val="2"/>
          <w:numId w:val="15"/>
        </w:numPr>
        <w:spacing w:before="120" w:after="120"/>
        <w:ind w:left="1418" w:hanging="709"/>
        <w:jc w:val="both"/>
        <w:rPr>
          <w:rFonts w:ascii="Times New Roman" w:hAnsi="Times New Roman" w:cs="Times New Roman"/>
          <w:iCs/>
          <w:sz w:val="24"/>
          <w:szCs w:val="24"/>
        </w:rPr>
      </w:pPr>
      <w:r w:rsidRPr="00D12DB4">
        <w:rPr>
          <w:rFonts w:ascii="Times New Roman" w:hAnsi="Times New Roman" w:cs="Times New Roman"/>
          <w:iCs/>
          <w:sz w:val="24"/>
          <w:szCs w:val="24"/>
        </w:rPr>
        <w:lastRenderedPageBreak/>
        <w:t>J</w:t>
      </w:r>
      <w:r w:rsidR="002B2ACF" w:rsidRPr="00D12DB4">
        <w:rPr>
          <w:rFonts w:ascii="Times New Roman" w:hAnsi="Times New Roman" w:cs="Times New Roman"/>
          <w:iCs/>
          <w:sz w:val="24"/>
          <w:szCs w:val="24"/>
        </w:rPr>
        <w:t xml:space="preserve">ānosaka pienākums un procedūra, kādā sniegt atgriezenisko </w:t>
      </w:r>
      <w:r w:rsidR="002B2ACF" w:rsidRPr="00617C41">
        <w:rPr>
          <w:rFonts w:ascii="Times New Roman" w:hAnsi="Times New Roman" w:cs="Times New Roman"/>
          <w:iCs/>
          <w:sz w:val="24"/>
          <w:szCs w:val="24"/>
        </w:rPr>
        <w:t>saiti</w:t>
      </w:r>
      <w:r w:rsidR="002B2ACF" w:rsidRPr="00D12DB4">
        <w:rPr>
          <w:rFonts w:ascii="Times New Roman" w:hAnsi="Times New Roman" w:cs="Times New Roman"/>
          <w:iCs/>
          <w:sz w:val="24"/>
          <w:szCs w:val="24"/>
        </w:rPr>
        <w:t xml:space="preserve"> ārvalstu partneriem, kur</w:t>
      </w:r>
      <w:bookmarkStart w:id="0" w:name="_GoBack"/>
      <w:bookmarkEnd w:id="0"/>
      <w:r w:rsidR="002B2ACF" w:rsidRPr="00D12DB4">
        <w:rPr>
          <w:rFonts w:ascii="Times New Roman" w:hAnsi="Times New Roman" w:cs="Times New Roman"/>
          <w:iCs/>
          <w:sz w:val="24"/>
          <w:szCs w:val="24"/>
        </w:rPr>
        <w:t>i ir snieguši informāciju uzraudzības iestādei</w:t>
      </w:r>
      <w:r w:rsidR="00C34C35">
        <w:rPr>
          <w:rFonts w:ascii="Times New Roman" w:hAnsi="Times New Roman" w:cs="Times New Roman"/>
          <w:iCs/>
          <w:sz w:val="24"/>
          <w:szCs w:val="24"/>
        </w:rPr>
        <w:t>, par to, kā tika izmantota viņu sniegtā informācija</w:t>
      </w:r>
      <w:r w:rsidR="002B2ACF" w:rsidRPr="00D12DB4">
        <w:rPr>
          <w:rFonts w:ascii="Times New Roman" w:hAnsi="Times New Roman" w:cs="Times New Roman"/>
          <w:iCs/>
          <w:sz w:val="24"/>
          <w:szCs w:val="24"/>
        </w:rPr>
        <w:t>. Kā nosaka FATF rekomendācija, atgriezeniskā saite ir jānodrošina regulāri, nevis tikai tad, kad tā tiek pieprasīta. Atgriezeniskā saite sadarbības partneriem būtu jāsniedz vienmēr, negaidot pieprasījumu sniegt atgriezenisko saiti, kā arī tas būtu jādara bez liekas kavēšanās.</w:t>
      </w:r>
    </w:p>
    <w:p w14:paraId="4AD42B74" w14:textId="77777777" w:rsidR="002B2ACF" w:rsidRPr="00D12DB4" w:rsidRDefault="002B2ACF" w:rsidP="00CC2ACE">
      <w:pPr>
        <w:pStyle w:val="Sarakstarindkopa"/>
        <w:numPr>
          <w:ilvl w:val="2"/>
          <w:numId w:val="15"/>
        </w:numPr>
        <w:spacing w:before="120" w:after="120"/>
        <w:ind w:left="1418" w:hanging="709"/>
        <w:jc w:val="both"/>
        <w:rPr>
          <w:rFonts w:ascii="Times New Roman" w:hAnsi="Times New Roman" w:cs="Times New Roman"/>
          <w:iCs/>
          <w:sz w:val="24"/>
          <w:szCs w:val="24"/>
        </w:rPr>
      </w:pPr>
      <w:r w:rsidRPr="00D12DB4">
        <w:rPr>
          <w:rFonts w:ascii="Times New Roman" w:hAnsi="Times New Roman" w:cs="Times New Roman"/>
          <w:iCs/>
          <w:sz w:val="24"/>
          <w:szCs w:val="24"/>
        </w:rPr>
        <w:t xml:space="preserve">Jānosaka kārtība, kādā tiek nodrošināta no ārvalstu partneriem saņemtās informācijas aizsardzība un kontrole saskaņā ar NILLTFNL 46. panta pirmās daļas 7. punktā minēto datu konfidencialitātes nodrošināšanu. </w:t>
      </w:r>
    </w:p>
    <w:p w14:paraId="4893CEC5" w14:textId="77777777" w:rsidR="002B2ACF" w:rsidRPr="00D12DB4" w:rsidRDefault="002B2ACF" w:rsidP="00CC2ACE">
      <w:pPr>
        <w:pStyle w:val="Sarakstarindkopa"/>
        <w:numPr>
          <w:ilvl w:val="2"/>
          <w:numId w:val="15"/>
        </w:numPr>
        <w:spacing w:before="120" w:after="120"/>
        <w:ind w:left="1418" w:hanging="709"/>
        <w:jc w:val="both"/>
        <w:rPr>
          <w:rFonts w:ascii="Times New Roman" w:hAnsi="Times New Roman" w:cs="Times New Roman"/>
          <w:iCs/>
          <w:sz w:val="24"/>
          <w:szCs w:val="24"/>
        </w:rPr>
      </w:pPr>
      <w:r w:rsidRPr="00D12DB4">
        <w:rPr>
          <w:rFonts w:ascii="Times New Roman" w:hAnsi="Times New Roman" w:cs="Times New Roman"/>
          <w:iCs/>
          <w:sz w:val="24"/>
          <w:szCs w:val="24"/>
        </w:rPr>
        <w:t>Starptautiskās palīdzības lūgumu apmaiņai jāizmanto skaidri un droši mehānismi un kanāli. Ar skaidriem un drošiem kanāliem jāsaprot tādi kanāli, kas nodrošina pārsūtāmo datu aizsardzību, piemēram, šifrēti e-pasti un tīkli.</w:t>
      </w:r>
    </w:p>
    <w:p w14:paraId="29DF85E3" w14:textId="4DCF29F3" w:rsidR="00A92AAC" w:rsidRPr="00BE051B" w:rsidRDefault="00BE051B" w:rsidP="000F63AC">
      <w:pPr>
        <w:pStyle w:val="Sarakstarindkopa"/>
        <w:numPr>
          <w:ilvl w:val="2"/>
          <w:numId w:val="15"/>
        </w:numPr>
        <w:spacing w:before="120" w:after="120"/>
        <w:ind w:left="1418" w:hanging="709"/>
        <w:jc w:val="both"/>
        <w:rPr>
          <w:rFonts w:ascii="Times New Roman" w:hAnsi="Times New Roman" w:cs="Times New Roman"/>
          <w:iCs/>
          <w:sz w:val="24"/>
          <w:szCs w:val="24"/>
        </w:rPr>
      </w:pPr>
      <w:r w:rsidRPr="00BE051B">
        <w:rPr>
          <w:rFonts w:ascii="Times New Roman" w:hAnsi="Times New Roman" w:cs="Times New Roman"/>
          <w:iCs/>
          <w:sz w:val="24"/>
          <w:szCs w:val="24"/>
        </w:rPr>
        <w:t>Atsaucoties uz NILLTFNL 46.panta pirmās daļas 7.punktu, kas nosaka uzraudzības iestādei pienākumu veikt informācijas apmaiņu ar ārvalstu iestādi, tostarp izpildīt ārvalstu iestādes informācijas pieprasījumus, noteikt kārtību, kādā uzraudzības iestāde īsteno minēto pienākumu, tostarp skaidri nosakot to tiesības izpildīt ārvalstu partneru lūgumus, balstoties uz diviem kritērijiem: abpusējība (jāpārliecinās, ka ārvalstu iestāde ir radniecīga iestāde, kas īsteno NILLTFN funkciju) un konfidencialitāte (jāpārliecinās, ka tiks ievērot</w:t>
      </w:r>
      <w:r>
        <w:rPr>
          <w:rFonts w:ascii="Times New Roman" w:hAnsi="Times New Roman" w:cs="Times New Roman"/>
          <w:iCs/>
          <w:sz w:val="24"/>
          <w:szCs w:val="24"/>
        </w:rPr>
        <w:t xml:space="preserve">s </w:t>
      </w:r>
      <w:r w:rsidRPr="00BE051B">
        <w:rPr>
          <w:rFonts w:ascii="Times New Roman" w:hAnsi="Times New Roman" w:cs="Times New Roman"/>
          <w:iCs/>
          <w:sz w:val="24"/>
          <w:szCs w:val="24"/>
        </w:rPr>
        <w:t>konfidencialitāte</w:t>
      </w:r>
      <w:r>
        <w:rPr>
          <w:rFonts w:ascii="Times New Roman" w:hAnsi="Times New Roman" w:cs="Times New Roman"/>
          <w:iCs/>
          <w:sz w:val="24"/>
          <w:szCs w:val="24"/>
        </w:rPr>
        <w:t>s princips attiecībā uz informāciju</w:t>
      </w:r>
      <w:r w:rsidRPr="00BE051B">
        <w:rPr>
          <w:rFonts w:ascii="Times New Roman" w:hAnsi="Times New Roman" w:cs="Times New Roman"/>
          <w:iCs/>
          <w:sz w:val="24"/>
          <w:szCs w:val="24"/>
        </w:rPr>
        <w:t xml:space="preserve">). </w:t>
      </w:r>
    </w:p>
    <w:p w14:paraId="01A313E1" w14:textId="77777777" w:rsidR="00BE051B" w:rsidRPr="00BE051B" w:rsidRDefault="00BE051B" w:rsidP="00BE051B">
      <w:pPr>
        <w:spacing w:before="120" w:after="120"/>
        <w:ind w:left="709"/>
        <w:jc w:val="both"/>
        <w:rPr>
          <w:rFonts w:ascii="Times New Roman" w:hAnsi="Times New Roman" w:cs="Times New Roman"/>
          <w:iCs/>
          <w:sz w:val="24"/>
          <w:szCs w:val="24"/>
        </w:rPr>
      </w:pPr>
    </w:p>
    <w:sectPr w:rsidR="00BE051B" w:rsidRPr="00BE051B" w:rsidSect="00EA6828">
      <w:footerReference w:type="default" r:id="rId9"/>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7D233" w14:textId="77777777" w:rsidR="00276D9F" w:rsidRDefault="00276D9F" w:rsidP="00276D9F">
      <w:pPr>
        <w:spacing w:after="0" w:line="240" w:lineRule="auto"/>
      </w:pPr>
      <w:r>
        <w:separator/>
      </w:r>
    </w:p>
  </w:endnote>
  <w:endnote w:type="continuationSeparator" w:id="0">
    <w:p w14:paraId="4971D11D" w14:textId="77777777" w:rsidR="00276D9F" w:rsidRDefault="00276D9F" w:rsidP="002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860795"/>
      <w:docPartObj>
        <w:docPartGallery w:val="Page Numbers (Bottom of Page)"/>
        <w:docPartUnique/>
      </w:docPartObj>
    </w:sdtPr>
    <w:sdtEndPr>
      <w:rPr>
        <w:rFonts w:ascii="Times New Roman" w:hAnsi="Times New Roman" w:cs="Times New Roman"/>
        <w:sz w:val="24"/>
      </w:rPr>
    </w:sdtEndPr>
    <w:sdtContent>
      <w:p w14:paraId="1ECC7369" w14:textId="77777777" w:rsidR="006D7026" w:rsidRPr="006D7026" w:rsidRDefault="006D7026">
        <w:pPr>
          <w:pStyle w:val="Kjene"/>
          <w:jc w:val="center"/>
          <w:rPr>
            <w:rFonts w:ascii="Times New Roman" w:hAnsi="Times New Roman" w:cs="Times New Roman"/>
            <w:sz w:val="24"/>
          </w:rPr>
        </w:pPr>
        <w:r w:rsidRPr="006D7026">
          <w:rPr>
            <w:rFonts w:ascii="Times New Roman" w:hAnsi="Times New Roman" w:cs="Times New Roman"/>
            <w:sz w:val="24"/>
          </w:rPr>
          <w:fldChar w:fldCharType="begin"/>
        </w:r>
        <w:r w:rsidRPr="006D7026">
          <w:rPr>
            <w:rFonts w:ascii="Times New Roman" w:hAnsi="Times New Roman" w:cs="Times New Roman"/>
            <w:sz w:val="24"/>
          </w:rPr>
          <w:instrText>PAGE   \* MERGEFORMAT</w:instrText>
        </w:r>
        <w:r w:rsidRPr="006D7026">
          <w:rPr>
            <w:rFonts w:ascii="Times New Roman" w:hAnsi="Times New Roman" w:cs="Times New Roman"/>
            <w:sz w:val="24"/>
          </w:rPr>
          <w:fldChar w:fldCharType="separate"/>
        </w:r>
        <w:r w:rsidR="00D12DB4">
          <w:rPr>
            <w:rFonts w:ascii="Times New Roman" w:hAnsi="Times New Roman" w:cs="Times New Roman"/>
            <w:noProof/>
            <w:sz w:val="24"/>
          </w:rPr>
          <w:t>5</w:t>
        </w:r>
        <w:r w:rsidRPr="006D7026">
          <w:rPr>
            <w:rFonts w:ascii="Times New Roman" w:hAnsi="Times New Roman" w:cs="Times New Roman"/>
            <w:sz w:val="24"/>
          </w:rPr>
          <w:fldChar w:fldCharType="end"/>
        </w:r>
      </w:p>
    </w:sdtContent>
  </w:sdt>
  <w:p w14:paraId="24744BC1" w14:textId="77777777" w:rsidR="006D7026" w:rsidRDefault="006D70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FCC18" w14:textId="77777777" w:rsidR="00276D9F" w:rsidRDefault="00276D9F" w:rsidP="00276D9F">
      <w:pPr>
        <w:spacing w:after="0" w:line="240" w:lineRule="auto"/>
      </w:pPr>
      <w:r>
        <w:separator/>
      </w:r>
    </w:p>
  </w:footnote>
  <w:footnote w:type="continuationSeparator" w:id="0">
    <w:p w14:paraId="06B1DABE" w14:textId="77777777" w:rsidR="00276D9F" w:rsidRDefault="00276D9F" w:rsidP="00276D9F">
      <w:pPr>
        <w:spacing w:after="0" w:line="240" w:lineRule="auto"/>
      </w:pPr>
      <w:r>
        <w:continuationSeparator/>
      </w:r>
    </w:p>
  </w:footnote>
  <w:footnote w:id="1">
    <w:p w14:paraId="723BDDE2" w14:textId="77777777" w:rsidR="00D64AC9" w:rsidRDefault="00D64AC9" w:rsidP="00D64AC9">
      <w:pPr>
        <w:pStyle w:val="Vresteksts"/>
        <w:spacing w:after="120"/>
        <w:rPr>
          <w:rFonts w:ascii="Times New Roman" w:hAnsi="Times New Roman" w:cs="Times New Roman"/>
          <w:sz w:val="22"/>
          <w:szCs w:val="22"/>
        </w:rPr>
      </w:pPr>
      <w:r>
        <w:rPr>
          <w:rStyle w:val="Vresatsauce"/>
          <w:rFonts w:ascii="Times New Roman" w:hAnsi="Times New Roman"/>
          <w:sz w:val="22"/>
          <w:szCs w:val="22"/>
        </w:rPr>
        <w:footnoteRef/>
      </w:r>
      <w:hyperlink r:id="rId1" w:history="1">
        <w:r>
          <w:rPr>
            <w:rStyle w:val="Hipersaite"/>
            <w:rFonts w:ascii="Times New Roman" w:hAnsi="Times New Roman"/>
            <w:sz w:val="22"/>
            <w:szCs w:val="22"/>
          </w:rPr>
          <w:t>https://rm.coe.int/moneyval-2018-8-5th-round-mer-latvia/16808ce61b</w:t>
        </w:r>
      </w:hyperlink>
    </w:p>
  </w:footnote>
  <w:footnote w:id="2">
    <w:p w14:paraId="7DBC1D8F" w14:textId="77777777" w:rsidR="00D64AC9" w:rsidRDefault="00D64AC9" w:rsidP="00D64AC9">
      <w:pPr>
        <w:spacing w:after="120" w:line="240" w:lineRule="auto"/>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Finanšu darījumu darba grupa (FATF) ir neatkarīga starpvaldību organizācija, kas izstrādā un sekmē politiskās nostādnes pasaules finanšu sistēmas aizsardzībai pret NILLTF un masu iznīcināšanas ieroču izplatīšanas finansēšanu. </w:t>
      </w:r>
    </w:p>
    <w:p w14:paraId="34C6FDE5" w14:textId="77777777" w:rsidR="00D64AC9" w:rsidRDefault="00D64AC9" w:rsidP="00D64AC9">
      <w:pPr>
        <w:pStyle w:val="Vresteksts"/>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0A0"/>
    <w:multiLevelType w:val="multilevel"/>
    <w:tmpl w:val="72C8D8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7030A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44090B"/>
    <w:multiLevelType w:val="hybridMultilevel"/>
    <w:tmpl w:val="1EBEE070"/>
    <w:lvl w:ilvl="0" w:tplc="CE04FC7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0E5E4D90"/>
    <w:multiLevelType w:val="hybridMultilevel"/>
    <w:tmpl w:val="568EE90A"/>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 w15:restartNumberingAfterBreak="0">
    <w:nsid w:val="0FFE3389"/>
    <w:multiLevelType w:val="multilevel"/>
    <w:tmpl w:val="7196E892"/>
    <w:lvl w:ilvl="0">
      <w:start w:val="1"/>
      <w:numFmt w:val="decimal"/>
      <w:lvlText w:val="%1."/>
      <w:lvlJc w:val="left"/>
      <w:pPr>
        <w:ind w:left="360" w:hanging="360"/>
      </w:pPr>
      <w:rPr>
        <w:rFonts w:hint="default"/>
        <w:b/>
        <w:color w:val="7030A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B85B3B"/>
    <w:multiLevelType w:val="multilevel"/>
    <w:tmpl w:val="E6E697C8"/>
    <w:lvl w:ilvl="0">
      <w:start w:val="1"/>
      <w:numFmt w:val="decimal"/>
      <w:lvlText w:val="%1."/>
      <w:lvlJc w:val="left"/>
      <w:pPr>
        <w:ind w:left="360" w:hanging="360"/>
      </w:pPr>
      <w:rPr>
        <w:rFonts w:hint="default"/>
        <w:b/>
        <w:color w:val="7030A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A26623"/>
    <w:multiLevelType w:val="hybridMultilevel"/>
    <w:tmpl w:val="0966F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607EE"/>
    <w:multiLevelType w:val="hybridMultilevel"/>
    <w:tmpl w:val="64E2BDEC"/>
    <w:lvl w:ilvl="0" w:tplc="C34CF52C">
      <w:start w:val="1"/>
      <w:numFmt w:val="decimal"/>
      <w:lvlText w:val="%1)"/>
      <w:lvlJc w:val="left"/>
      <w:pPr>
        <w:ind w:left="4046" w:hanging="360"/>
      </w:pPr>
      <w:rPr>
        <w:rFonts w:hint="default"/>
      </w:rPr>
    </w:lvl>
    <w:lvl w:ilvl="1" w:tplc="04260019" w:tentative="1">
      <w:start w:val="1"/>
      <w:numFmt w:val="lowerLetter"/>
      <w:lvlText w:val="%2."/>
      <w:lvlJc w:val="left"/>
      <w:pPr>
        <w:ind w:left="4766" w:hanging="360"/>
      </w:pPr>
    </w:lvl>
    <w:lvl w:ilvl="2" w:tplc="0426001B" w:tentative="1">
      <w:start w:val="1"/>
      <w:numFmt w:val="lowerRoman"/>
      <w:lvlText w:val="%3."/>
      <w:lvlJc w:val="right"/>
      <w:pPr>
        <w:ind w:left="5486" w:hanging="180"/>
      </w:pPr>
    </w:lvl>
    <w:lvl w:ilvl="3" w:tplc="0426000F" w:tentative="1">
      <w:start w:val="1"/>
      <w:numFmt w:val="decimal"/>
      <w:lvlText w:val="%4."/>
      <w:lvlJc w:val="left"/>
      <w:pPr>
        <w:ind w:left="6206" w:hanging="360"/>
      </w:pPr>
    </w:lvl>
    <w:lvl w:ilvl="4" w:tplc="04260019" w:tentative="1">
      <w:start w:val="1"/>
      <w:numFmt w:val="lowerLetter"/>
      <w:lvlText w:val="%5."/>
      <w:lvlJc w:val="left"/>
      <w:pPr>
        <w:ind w:left="6926" w:hanging="360"/>
      </w:pPr>
    </w:lvl>
    <w:lvl w:ilvl="5" w:tplc="0426001B" w:tentative="1">
      <w:start w:val="1"/>
      <w:numFmt w:val="lowerRoman"/>
      <w:lvlText w:val="%6."/>
      <w:lvlJc w:val="right"/>
      <w:pPr>
        <w:ind w:left="7646" w:hanging="180"/>
      </w:pPr>
    </w:lvl>
    <w:lvl w:ilvl="6" w:tplc="0426000F" w:tentative="1">
      <w:start w:val="1"/>
      <w:numFmt w:val="decimal"/>
      <w:lvlText w:val="%7."/>
      <w:lvlJc w:val="left"/>
      <w:pPr>
        <w:ind w:left="8366" w:hanging="360"/>
      </w:pPr>
    </w:lvl>
    <w:lvl w:ilvl="7" w:tplc="04260019" w:tentative="1">
      <w:start w:val="1"/>
      <w:numFmt w:val="lowerLetter"/>
      <w:lvlText w:val="%8."/>
      <w:lvlJc w:val="left"/>
      <w:pPr>
        <w:ind w:left="9086" w:hanging="360"/>
      </w:pPr>
    </w:lvl>
    <w:lvl w:ilvl="8" w:tplc="0426001B" w:tentative="1">
      <w:start w:val="1"/>
      <w:numFmt w:val="lowerRoman"/>
      <w:lvlText w:val="%9."/>
      <w:lvlJc w:val="right"/>
      <w:pPr>
        <w:ind w:left="9806" w:hanging="180"/>
      </w:pPr>
    </w:lvl>
  </w:abstractNum>
  <w:abstractNum w:abstractNumId="7" w15:restartNumberingAfterBreak="0">
    <w:nsid w:val="2E05442C"/>
    <w:multiLevelType w:val="hybridMultilevel"/>
    <w:tmpl w:val="84844F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B024E8"/>
    <w:multiLevelType w:val="hybridMultilevel"/>
    <w:tmpl w:val="4758808C"/>
    <w:lvl w:ilvl="0" w:tplc="C34CF52C">
      <w:start w:val="1"/>
      <w:numFmt w:val="decimal"/>
      <w:lvlText w:val="%1)"/>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BB4390"/>
    <w:multiLevelType w:val="multilevel"/>
    <w:tmpl w:val="1B4822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EE14A8D"/>
    <w:multiLevelType w:val="hybridMultilevel"/>
    <w:tmpl w:val="568EE90A"/>
    <w:lvl w:ilvl="0" w:tplc="0426000F">
      <w:start w:val="1"/>
      <w:numFmt w:val="decimal"/>
      <w:lvlText w:val="%1."/>
      <w:lvlJc w:val="left"/>
      <w:pPr>
        <w:ind w:left="1571" w:hanging="360"/>
      </w:pPr>
    </w:lvl>
    <w:lvl w:ilvl="1" w:tplc="04260019">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1" w15:restartNumberingAfterBreak="0">
    <w:nsid w:val="5609533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67A5A87"/>
    <w:multiLevelType w:val="hybridMultilevel"/>
    <w:tmpl w:val="25EE81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2663829"/>
    <w:multiLevelType w:val="hybridMultilevel"/>
    <w:tmpl w:val="A4BE78BC"/>
    <w:lvl w:ilvl="0" w:tplc="901603A2">
      <w:start w:val="1"/>
      <w:numFmt w:val="upp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4" w15:restartNumberingAfterBreak="0">
    <w:nsid w:val="7A55572B"/>
    <w:multiLevelType w:val="hybridMultilevel"/>
    <w:tmpl w:val="1FF6A358"/>
    <w:lvl w:ilvl="0" w:tplc="88A8FCC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8"/>
  </w:num>
  <w:num w:numId="3">
    <w:abstractNumId w:val="13"/>
  </w:num>
  <w:num w:numId="4">
    <w:abstractNumId w:val="1"/>
  </w:num>
  <w:num w:numId="5">
    <w:abstractNumId w:val="4"/>
  </w:num>
  <w:num w:numId="6">
    <w:abstractNumId w:val="10"/>
  </w:num>
  <w:num w:numId="7">
    <w:abstractNumId w:val="2"/>
  </w:num>
  <w:num w:numId="8">
    <w:abstractNumId w:val="5"/>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7"/>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F9"/>
    <w:rsid w:val="000000DF"/>
    <w:rsid w:val="00004ED2"/>
    <w:rsid w:val="000126EF"/>
    <w:rsid w:val="00030ABB"/>
    <w:rsid w:val="00036252"/>
    <w:rsid w:val="00041E10"/>
    <w:rsid w:val="0004454E"/>
    <w:rsid w:val="00045C2D"/>
    <w:rsid w:val="00053196"/>
    <w:rsid w:val="0005410D"/>
    <w:rsid w:val="0006334B"/>
    <w:rsid w:val="0006510F"/>
    <w:rsid w:val="000730AB"/>
    <w:rsid w:val="00082D2D"/>
    <w:rsid w:val="00091E42"/>
    <w:rsid w:val="000924F8"/>
    <w:rsid w:val="00096292"/>
    <w:rsid w:val="0009750C"/>
    <w:rsid w:val="000C03AE"/>
    <w:rsid w:val="000C431E"/>
    <w:rsid w:val="000D43C1"/>
    <w:rsid w:val="000D78AB"/>
    <w:rsid w:val="000E0F13"/>
    <w:rsid w:val="000E2E50"/>
    <w:rsid w:val="000E517A"/>
    <w:rsid w:val="000E5E34"/>
    <w:rsid w:val="000E63B4"/>
    <w:rsid w:val="000F72DD"/>
    <w:rsid w:val="00107C58"/>
    <w:rsid w:val="001103AD"/>
    <w:rsid w:val="00110817"/>
    <w:rsid w:val="00113126"/>
    <w:rsid w:val="00117DA3"/>
    <w:rsid w:val="0012532B"/>
    <w:rsid w:val="00132192"/>
    <w:rsid w:val="00153302"/>
    <w:rsid w:val="00161C28"/>
    <w:rsid w:val="0016327D"/>
    <w:rsid w:val="00167CC0"/>
    <w:rsid w:val="00172929"/>
    <w:rsid w:val="00180BC2"/>
    <w:rsid w:val="00184BB9"/>
    <w:rsid w:val="00187133"/>
    <w:rsid w:val="00191EAC"/>
    <w:rsid w:val="001922C5"/>
    <w:rsid w:val="001953BF"/>
    <w:rsid w:val="00196279"/>
    <w:rsid w:val="00197BC9"/>
    <w:rsid w:val="00197BDE"/>
    <w:rsid w:val="001B096A"/>
    <w:rsid w:val="001B2749"/>
    <w:rsid w:val="001D010D"/>
    <w:rsid w:val="001D52E8"/>
    <w:rsid w:val="001D5D6D"/>
    <w:rsid w:val="001D6E5D"/>
    <w:rsid w:val="001D72E5"/>
    <w:rsid w:val="001E26DD"/>
    <w:rsid w:val="001F2A6F"/>
    <w:rsid w:val="001F5E0A"/>
    <w:rsid w:val="00202A4A"/>
    <w:rsid w:val="0021479D"/>
    <w:rsid w:val="00215164"/>
    <w:rsid w:val="002158D7"/>
    <w:rsid w:val="002223C8"/>
    <w:rsid w:val="00225823"/>
    <w:rsid w:val="00226DB6"/>
    <w:rsid w:val="00227743"/>
    <w:rsid w:val="0023381B"/>
    <w:rsid w:val="00233BFC"/>
    <w:rsid w:val="002351B6"/>
    <w:rsid w:val="00236FF0"/>
    <w:rsid w:val="00241CF9"/>
    <w:rsid w:val="00242064"/>
    <w:rsid w:val="0024409C"/>
    <w:rsid w:val="002603F1"/>
    <w:rsid w:val="00263404"/>
    <w:rsid w:val="00270242"/>
    <w:rsid w:val="00275213"/>
    <w:rsid w:val="00276D9F"/>
    <w:rsid w:val="0027755C"/>
    <w:rsid w:val="00283963"/>
    <w:rsid w:val="00292D68"/>
    <w:rsid w:val="00295858"/>
    <w:rsid w:val="002B01A2"/>
    <w:rsid w:val="002B2ACF"/>
    <w:rsid w:val="002B2CA4"/>
    <w:rsid w:val="002B3C6D"/>
    <w:rsid w:val="002C2480"/>
    <w:rsid w:val="002C3522"/>
    <w:rsid w:val="002C5AB6"/>
    <w:rsid w:val="002D4947"/>
    <w:rsid w:val="002D68B3"/>
    <w:rsid w:val="002E4489"/>
    <w:rsid w:val="002F0D74"/>
    <w:rsid w:val="002F6473"/>
    <w:rsid w:val="002F769E"/>
    <w:rsid w:val="00302B47"/>
    <w:rsid w:val="00307C28"/>
    <w:rsid w:val="00307F0A"/>
    <w:rsid w:val="00310400"/>
    <w:rsid w:val="00322771"/>
    <w:rsid w:val="00325B06"/>
    <w:rsid w:val="00325F9B"/>
    <w:rsid w:val="00332FFB"/>
    <w:rsid w:val="00344982"/>
    <w:rsid w:val="00351665"/>
    <w:rsid w:val="00354A6D"/>
    <w:rsid w:val="00364CC1"/>
    <w:rsid w:val="0036635D"/>
    <w:rsid w:val="003734C8"/>
    <w:rsid w:val="00381299"/>
    <w:rsid w:val="003818A4"/>
    <w:rsid w:val="0038539A"/>
    <w:rsid w:val="00386E16"/>
    <w:rsid w:val="003935BC"/>
    <w:rsid w:val="0039623F"/>
    <w:rsid w:val="003A00B6"/>
    <w:rsid w:val="003A6400"/>
    <w:rsid w:val="003B5254"/>
    <w:rsid w:val="003C5642"/>
    <w:rsid w:val="003C5C9F"/>
    <w:rsid w:val="003E3439"/>
    <w:rsid w:val="003F1885"/>
    <w:rsid w:val="00405CEA"/>
    <w:rsid w:val="0040763F"/>
    <w:rsid w:val="00410B73"/>
    <w:rsid w:val="00415860"/>
    <w:rsid w:val="00423201"/>
    <w:rsid w:val="0042735A"/>
    <w:rsid w:val="00430E56"/>
    <w:rsid w:val="004455E9"/>
    <w:rsid w:val="00447EB0"/>
    <w:rsid w:val="004556CB"/>
    <w:rsid w:val="00461B3D"/>
    <w:rsid w:val="00463D6C"/>
    <w:rsid w:val="004761AB"/>
    <w:rsid w:val="004875BA"/>
    <w:rsid w:val="00491046"/>
    <w:rsid w:val="00491BF6"/>
    <w:rsid w:val="004930B5"/>
    <w:rsid w:val="00494EDA"/>
    <w:rsid w:val="00496347"/>
    <w:rsid w:val="004976A0"/>
    <w:rsid w:val="004A4204"/>
    <w:rsid w:val="004B4202"/>
    <w:rsid w:val="004B4A9C"/>
    <w:rsid w:val="004B7985"/>
    <w:rsid w:val="004C2558"/>
    <w:rsid w:val="004C280D"/>
    <w:rsid w:val="004C592E"/>
    <w:rsid w:val="004D0BA0"/>
    <w:rsid w:val="004D17AB"/>
    <w:rsid w:val="004D1ED1"/>
    <w:rsid w:val="004D5E7C"/>
    <w:rsid w:val="004E08A2"/>
    <w:rsid w:val="004E0BA2"/>
    <w:rsid w:val="004E3320"/>
    <w:rsid w:val="004F00B8"/>
    <w:rsid w:val="004F4315"/>
    <w:rsid w:val="004F7DD6"/>
    <w:rsid w:val="00505B56"/>
    <w:rsid w:val="00511AEE"/>
    <w:rsid w:val="0052050E"/>
    <w:rsid w:val="005238E9"/>
    <w:rsid w:val="005335B3"/>
    <w:rsid w:val="00540C59"/>
    <w:rsid w:val="00544DE5"/>
    <w:rsid w:val="00545329"/>
    <w:rsid w:val="00550212"/>
    <w:rsid w:val="00550F84"/>
    <w:rsid w:val="00554D26"/>
    <w:rsid w:val="00566B8B"/>
    <w:rsid w:val="005811AD"/>
    <w:rsid w:val="0058339D"/>
    <w:rsid w:val="00597332"/>
    <w:rsid w:val="005A27CB"/>
    <w:rsid w:val="005C7AA8"/>
    <w:rsid w:val="005D69D3"/>
    <w:rsid w:val="005D6E85"/>
    <w:rsid w:val="005E1053"/>
    <w:rsid w:val="005E3FE8"/>
    <w:rsid w:val="005E45A1"/>
    <w:rsid w:val="00601BA7"/>
    <w:rsid w:val="00603B4B"/>
    <w:rsid w:val="00604957"/>
    <w:rsid w:val="00612F83"/>
    <w:rsid w:val="00613282"/>
    <w:rsid w:val="00617C41"/>
    <w:rsid w:val="00622F26"/>
    <w:rsid w:val="00622F53"/>
    <w:rsid w:val="006230AE"/>
    <w:rsid w:val="00625B3B"/>
    <w:rsid w:val="00625C49"/>
    <w:rsid w:val="0063456C"/>
    <w:rsid w:val="0064381C"/>
    <w:rsid w:val="00651C52"/>
    <w:rsid w:val="0066584F"/>
    <w:rsid w:val="00666A6B"/>
    <w:rsid w:val="00670598"/>
    <w:rsid w:val="00671278"/>
    <w:rsid w:val="00671922"/>
    <w:rsid w:val="00671F3F"/>
    <w:rsid w:val="00674D75"/>
    <w:rsid w:val="00677494"/>
    <w:rsid w:val="00681005"/>
    <w:rsid w:val="0068274D"/>
    <w:rsid w:val="006843E6"/>
    <w:rsid w:val="00685783"/>
    <w:rsid w:val="00686A1C"/>
    <w:rsid w:val="006914CE"/>
    <w:rsid w:val="00694287"/>
    <w:rsid w:val="006B4872"/>
    <w:rsid w:val="006B5F6C"/>
    <w:rsid w:val="006B7FCF"/>
    <w:rsid w:val="006C37A1"/>
    <w:rsid w:val="006C52AF"/>
    <w:rsid w:val="006C54BC"/>
    <w:rsid w:val="006C6753"/>
    <w:rsid w:val="006C68F9"/>
    <w:rsid w:val="006D5AF0"/>
    <w:rsid w:val="006D7026"/>
    <w:rsid w:val="006E7873"/>
    <w:rsid w:val="0071259E"/>
    <w:rsid w:val="00717166"/>
    <w:rsid w:val="00727F0B"/>
    <w:rsid w:val="00735027"/>
    <w:rsid w:val="007426F7"/>
    <w:rsid w:val="007438E6"/>
    <w:rsid w:val="0074584A"/>
    <w:rsid w:val="007458EE"/>
    <w:rsid w:val="007515CE"/>
    <w:rsid w:val="00752635"/>
    <w:rsid w:val="00755A70"/>
    <w:rsid w:val="007565FE"/>
    <w:rsid w:val="00756E63"/>
    <w:rsid w:val="00760089"/>
    <w:rsid w:val="00773E07"/>
    <w:rsid w:val="007765C5"/>
    <w:rsid w:val="0078026C"/>
    <w:rsid w:val="00780CEB"/>
    <w:rsid w:val="00783372"/>
    <w:rsid w:val="00785062"/>
    <w:rsid w:val="00787A51"/>
    <w:rsid w:val="007932DE"/>
    <w:rsid w:val="007A3C09"/>
    <w:rsid w:val="007C1713"/>
    <w:rsid w:val="007F7ECE"/>
    <w:rsid w:val="00804A76"/>
    <w:rsid w:val="008053C4"/>
    <w:rsid w:val="008068A9"/>
    <w:rsid w:val="00811228"/>
    <w:rsid w:val="00811ED4"/>
    <w:rsid w:val="00811F13"/>
    <w:rsid w:val="008132D8"/>
    <w:rsid w:val="00815469"/>
    <w:rsid w:val="00824C59"/>
    <w:rsid w:val="00836BED"/>
    <w:rsid w:val="00837586"/>
    <w:rsid w:val="00841B9D"/>
    <w:rsid w:val="00850CAB"/>
    <w:rsid w:val="00852AFF"/>
    <w:rsid w:val="008545C8"/>
    <w:rsid w:val="008637F9"/>
    <w:rsid w:val="00874283"/>
    <w:rsid w:val="00874F10"/>
    <w:rsid w:val="00877E5D"/>
    <w:rsid w:val="00884389"/>
    <w:rsid w:val="00893A75"/>
    <w:rsid w:val="008967DE"/>
    <w:rsid w:val="008A2F8A"/>
    <w:rsid w:val="008A50AC"/>
    <w:rsid w:val="008A6376"/>
    <w:rsid w:val="008A6537"/>
    <w:rsid w:val="008B268B"/>
    <w:rsid w:val="008B6F3C"/>
    <w:rsid w:val="008C1327"/>
    <w:rsid w:val="008C26C1"/>
    <w:rsid w:val="008C6BD0"/>
    <w:rsid w:val="008D2C2A"/>
    <w:rsid w:val="008D7FC8"/>
    <w:rsid w:val="008E0623"/>
    <w:rsid w:val="008E647D"/>
    <w:rsid w:val="008F4776"/>
    <w:rsid w:val="00902AA1"/>
    <w:rsid w:val="00904067"/>
    <w:rsid w:val="0090519C"/>
    <w:rsid w:val="00905837"/>
    <w:rsid w:val="009142C5"/>
    <w:rsid w:val="00915D67"/>
    <w:rsid w:val="00931B5B"/>
    <w:rsid w:val="00931F35"/>
    <w:rsid w:val="00935CAD"/>
    <w:rsid w:val="00935E33"/>
    <w:rsid w:val="00943319"/>
    <w:rsid w:val="00952AF5"/>
    <w:rsid w:val="00970F1B"/>
    <w:rsid w:val="009810CB"/>
    <w:rsid w:val="00997BA4"/>
    <w:rsid w:val="009A6571"/>
    <w:rsid w:val="009C2F1A"/>
    <w:rsid w:val="009C3C77"/>
    <w:rsid w:val="009C4F73"/>
    <w:rsid w:val="009D037B"/>
    <w:rsid w:val="009D0DDC"/>
    <w:rsid w:val="009E014B"/>
    <w:rsid w:val="009F134F"/>
    <w:rsid w:val="00A03FB2"/>
    <w:rsid w:val="00A04B97"/>
    <w:rsid w:val="00A122F6"/>
    <w:rsid w:val="00A226C2"/>
    <w:rsid w:val="00A311F0"/>
    <w:rsid w:val="00A32F0C"/>
    <w:rsid w:val="00A42956"/>
    <w:rsid w:val="00A43878"/>
    <w:rsid w:val="00A456ED"/>
    <w:rsid w:val="00A50840"/>
    <w:rsid w:val="00A54169"/>
    <w:rsid w:val="00A56770"/>
    <w:rsid w:val="00A57D32"/>
    <w:rsid w:val="00A604B5"/>
    <w:rsid w:val="00A62AC7"/>
    <w:rsid w:val="00A632BA"/>
    <w:rsid w:val="00A651BD"/>
    <w:rsid w:val="00A717C0"/>
    <w:rsid w:val="00A87C08"/>
    <w:rsid w:val="00A92AAC"/>
    <w:rsid w:val="00A97C00"/>
    <w:rsid w:val="00AC5408"/>
    <w:rsid w:val="00AC79CD"/>
    <w:rsid w:val="00AD0B77"/>
    <w:rsid w:val="00AD7BDF"/>
    <w:rsid w:val="00AE437B"/>
    <w:rsid w:val="00AF0A87"/>
    <w:rsid w:val="00B173F5"/>
    <w:rsid w:val="00B1776D"/>
    <w:rsid w:val="00B21664"/>
    <w:rsid w:val="00B24072"/>
    <w:rsid w:val="00B25519"/>
    <w:rsid w:val="00B30351"/>
    <w:rsid w:val="00B30D90"/>
    <w:rsid w:val="00B4096E"/>
    <w:rsid w:val="00B541DB"/>
    <w:rsid w:val="00B54B97"/>
    <w:rsid w:val="00B578C2"/>
    <w:rsid w:val="00B7064D"/>
    <w:rsid w:val="00B7163D"/>
    <w:rsid w:val="00B81D99"/>
    <w:rsid w:val="00B8271F"/>
    <w:rsid w:val="00B835AB"/>
    <w:rsid w:val="00B84700"/>
    <w:rsid w:val="00B948B2"/>
    <w:rsid w:val="00B95162"/>
    <w:rsid w:val="00B975B4"/>
    <w:rsid w:val="00BA1008"/>
    <w:rsid w:val="00BA27E6"/>
    <w:rsid w:val="00BA3EDF"/>
    <w:rsid w:val="00BB3F62"/>
    <w:rsid w:val="00BB4B21"/>
    <w:rsid w:val="00BB4C5F"/>
    <w:rsid w:val="00BD1F6C"/>
    <w:rsid w:val="00BD34B9"/>
    <w:rsid w:val="00BD7BE1"/>
    <w:rsid w:val="00BE051B"/>
    <w:rsid w:val="00BE1BAB"/>
    <w:rsid w:val="00BE5D27"/>
    <w:rsid w:val="00BF091E"/>
    <w:rsid w:val="00BF45FF"/>
    <w:rsid w:val="00C0251B"/>
    <w:rsid w:val="00C0328E"/>
    <w:rsid w:val="00C03309"/>
    <w:rsid w:val="00C12AE5"/>
    <w:rsid w:val="00C14980"/>
    <w:rsid w:val="00C34C35"/>
    <w:rsid w:val="00C367E2"/>
    <w:rsid w:val="00C36EAB"/>
    <w:rsid w:val="00C41BAA"/>
    <w:rsid w:val="00C64703"/>
    <w:rsid w:val="00C65EC4"/>
    <w:rsid w:val="00C74C1A"/>
    <w:rsid w:val="00C8143C"/>
    <w:rsid w:val="00C820B6"/>
    <w:rsid w:val="00C84421"/>
    <w:rsid w:val="00C910F8"/>
    <w:rsid w:val="00C95314"/>
    <w:rsid w:val="00CA0A71"/>
    <w:rsid w:val="00CA1DF1"/>
    <w:rsid w:val="00CB0873"/>
    <w:rsid w:val="00CB1C32"/>
    <w:rsid w:val="00CB6B6D"/>
    <w:rsid w:val="00CB7C0E"/>
    <w:rsid w:val="00CC2ACE"/>
    <w:rsid w:val="00CC5113"/>
    <w:rsid w:val="00CC73A8"/>
    <w:rsid w:val="00CD1471"/>
    <w:rsid w:val="00CE3340"/>
    <w:rsid w:val="00CF64C3"/>
    <w:rsid w:val="00D0018A"/>
    <w:rsid w:val="00D00222"/>
    <w:rsid w:val="00D0207B"/>
    <w:rsid w:val="00D04A2C"/>
    <w:rsid w:val="00D11418"/>
    <w:rsid w:val="00D12DB4"/>
    <w:rsid w:val="00D12DC8"/>
    <w:rsid w:val="00D301B4"/>
    <w:rsid w:val="00D31F0B"/>
    <w:rsid w:val="00D3266A"/>
    <w:rsid w:val="00D41611"/>
    <w:rsid w:val="00D613F7"/>
    <w:rsid w:val="00D64AC9"/>
    <w:rsid w:val="00D71698"/>
    <w:rsid w:val="00D75BC0"/>
    <w:rsid w:val="00D7717F"/>
    <w:rsid w:val="00D82E2F"/>
    <w:rsid w:val="00D861A1"/>
    <w:rsid w:val="00DA6126"/>
    <w:rsid w:val="00DA6EED"/>
    <w:rsid w:val="00DB659C"/>
    <w:rsid w:val="00DB72F8"/>
    <w:rsid w:val="00DC243B"/>
    <w:rsid w:val="00DD2E93"/>
    <w:rsid w:val="00DD6838"/>
    <w:rsid w:val="00DE4116"/>
    <w:rsid w:val="00DE41CA"/>
    <w:rsid w:val="00DE7A9F"/>
    <w:rsid w:val="00DF1DE0"/>
    <w:rsid w:val="00DF21A9"/>
    <w:rsid w:val="00DF56D6"/>
    <w:rsid w:val="00DF7DE5"/>
    <w:rsid w:val="00E03867"/>
    <w:rsid w:val="00E1416A"/>
    <w:rsid w:val="00E3174E"/>
    <w:rsid w:val="00E32FB3"/>
    <w:rsid w:val="00E34DD7"/>
    <w:rsid w:val="00E50362"/>
    <w:rsid w:val="00E62E3A"/>
    <w:rsid w:val="00E73FF2"/>
    <w:rsid w:val="00E757A6"/>
    <w:rsid w:val="00E81A28"/>
    <w:rsid w:val="00E83529"/>
    <w:rsid w:val="00E85E35"/>
    <w:rsid w:val="00E85E87"/>
    <w:rsid w:val="00E93128"/>
    <w:rsid w:val="00E932FE"/>
    <w:rsid w:val="00EA2153"/>
    <w:rsid w:val="00EA6828"/>
    <w:rsid w:val="00EA6F21"/>
    <w:rsid w:val="00EB7A5D"/>
    <w:rsid w:val="00EC0F31"/>
    <w:rsid w:val="00EC1043"/>
    <w:rsid w:val="00EC5A44"/>
    <w:rsid w:val="00EC67B1"/>
    <w:rsid w:val="00ED6628"/>
    <w:rsid w:val="00EE049B"/>
    <w:rsid w:val="00EE2E72"/>
    <w:rsid w:val="00EE46DA"/>
    <w:rsid w:val="00EF518C"/>
    <w:rsid w:val="00F0185B"/>
    <w:rsid w:val="00F11ABF"/>
    <w:rsid w:val="00F130FB"/>
    <w:rsid w:val="00F164BB"/>
    <w:rsid w:val="00F169D2"/>
    <w:rsid w:val="00F21A01"/>
    <w:rsid w:val="00F2249E"/>
    <w:rsid w:val="00F40F5B"/>
    <w:rsid w:val="00F51676"/>
    <w:rsid w:val="00F5501B"/>
    <w:rsid w:val="00F63A90"/>
    <w:rsid w:val="00F65266"/>
    <w:rsid w:val="00F66421"/>
    <w:rsid w:val="00F72FED"/>
    <w:rsid w:val="00F9019C"/>
    <w:rsid w:val="00F92926"/>
    <w:rsid w:val="00F92BFB"/>
    <w:rsid w:val="00F9480C"/>
    <w:rsid w:val="00F96E59"/>
    <w:rsid w:val="00FA19B5"/>
    <w:rsid w:val="00FA3C3C"/>
    <w:rsid w:val="00FB0D3B"/>
    <w:rsid w:val="00FB3795"/>
    <w:rsid w:val="00FC799F"/>
    <w:rsid w:val="00FD2AA4"/>
    <w:rsid w:val="00FD50BA"/>
    <w:rsid w:val="00FD54B9"/>
    <w:rsid w:val="00FD5DD2"/>
    <w:rsid w:val="00FD7C5A"/>
    <w:rsid w:val="00FE6A3F"/>
    <w:rsid w:val="00FF43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D5A20C"/>
  <w15:docId w15:val="{2D16BD6E-B8D6-4439-B984-E9966B84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2223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uiPriority w:val="9"/>
    <w:unhideWhenUsed/>
    <w:qFormat/>
    <w:rsid w:val="002223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76D9F"/>
    <w:pPr>
      <w:ind w:left="720"/>
      <w:contextualSpacing/>
    </w:pPr>
  </w:style>
  <w:style w:type="paragraph" w:styleId="Vresteksts">
    <w:name w:val="footnote text"/>
    <w:basedOn w:val="Parasts"/>
    <w:link w:val="VrestekstsRakstz"/>
    <w:uiPriority w:val="99"/>
    <w:semiHidden/>
    <w:unhideWhenUsed/>
    <w:rsid w:val="00276D9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76D9F"/>
    <w:rPr>
      <w:sz w:val="20"/>
      <w:szCs w:val="20"/>
    </w:rPr>
  </w:style>
  <w:style w:type="character" w:styleId="Vresatsauce">
    <w:name w:val="footnote reference"/>
    <w:basedOn w:val="Noklusjumarindkopasfonts"/>
    <w:uiPriority w:val="99"/>
    <w:semiHidden/>
    <w:unhideWhenUsed/>
    <w:rsid w:val="00276D9F"/>
    <w:rPr>
      <w:vertAlign w:val="superscript"/>
    </w:rPr>
  </w:style>
  <w:style w:type="character" w:styleId="Hipersaite">
    <w:name w:val="Hyperlink"/>
    <w:basedOn w:val="Noklusjumarindkopasfonts"/>
    <w:uiPriority w:val="99"/>
    <w:unhideWhenUsed/>
    <w:rsid w:val="00276D9F"/>
    <w:rPr>
      <w:color w:val="0000FF" w:themeColor="hyperlink"/>
      <w:u w:val="single"/>
    </w:rPr>
  </w:style>
  <w:style w:type="paragraph" w:styleId="Bezatstarpm">
    <w:name w:val="No Spacing"/>
    <w:link w:val="BezatstarpmRakstz"/>
    <w:uiPriority w:val="1"/>
    <w:qFormat/>
    <w:rsid w:val="0042735A"/>
    <w:pPr>
      <w:widowControl w:val="0"/>
      <w:spacing w:after="0" w:line="240" w:lineRule="auto"/>
    </w:pPr>
    <w:rPr>
      <w:rFonts w:ascii="Calibri" w:eastAsia="Calibri" w:hAnsi="Calibri" w:cs="Times New Roman"/>
      <w:lang w:val="en-US"/>
    </w:rPr>
  </w:style>
  <w:style w:type="paragraph" w:styleId="Balonteksts">
    <w:name w:val="Balloon Text"/>
    <w:basedOn w:val="Parasts"/>
    <w:link w:val="BalontekstsRakstz"/>
    <w:uiPriority w:val="99"/>
    <w:semiHidden/>
    <w:unhideWhenUsed/>
    <w:rsid w:val="00566B8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66B8B"/>
    <w:rPr>
      <w:rFonts w:ascii="Tahoma" w:hAnsi="Tahoma" w:cs="Tahoma"/>
      <w:sz w:val="16"/>
      <w:szCs w:val="16"/>
    </w:rPr>
  </w:style>
  <w:style w:type="paragraph" w:styleId="Galvene">
    <w:name w:val="header"/>
    <w:basedOn w:val="Parasts"/>
    <w:link w:val="GalveneRakstz"/>
    <w:uiPriority w:val="99"/>
    <w:unhideWhenUsed/>
    <w:rsid w:val="002147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479D"/>
  </w:style>
  <w:style w:type="paragraph" w:styleId="Kjene">
    <w:name w:val="footer"/>
    <w:basedOn w:val="Parasts"/>
    <w:link w:val="KjeneRakstz"/>
    <w:uiPriority w:val="99"/>
    <w:unhideWhenUsed/>
    <w:rsid w:val="0021479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479D"/>
  </w:style>
  <w:style w:type="paragraph" w:customStyle="1" w:styleId="tv213">
    <w:name w:val="tv213"/>
    <w:basedOn w:val="Parasts"/>
    <w:rsid w:val="00A97C0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51">
    <w:name w:val="Heading #51"/>
    <w:basedOn w:val="Parasts"/>
    <w:rsid w:val="00D64AC9"/>
    <w:pPr>
      <w:shd w:val="clear" w:color="auto" w:fill="FFFFFF"/>
      <w:snapToGrid w:val="0"/>
      <w:spacing w:before="300" w:after="240" w:line="240" w:lineRule="atLeast"/>
      <w:ind w:hanging="720"/>
      <w:outlineLvl w:val="4"/>
    </w:pPr>
    <w:rPr>
      <w:rFonts w:ascii="Calibri" w:eastAsia="Times New Roman" w:hAnsi="Calibri" w:cs="Calibri"/>
      <w:b/>
      <w:bCs/>
      <w:lang w:eastAsia="lv-LV"/>
    </w:rPr>
  </w:style>
  <w:style w:type="character" w:customStyle="1" w:styleId="BezatstarpmRakstz">
    <w:name w:val="Bez atstarpēm Rakstz."/>
    <w:basedOn w:val="Noklusjumarindkopasfonts"/>
    <w:link w:val="Bezatstarpm"/>
    <w:uiPriority w:val="1"/>
    <w:rsid w:val="00EA6828"/>
    <w:rPr>
      <w:rFonts w:ascii="Calibri" w:eastAsia="Calibri" w:hAnsi="Calibri" w:cs="Times New Roman"/>
      <w:lang w:val="en-US"/>
    </w:rPr>
  </w:style>
  <w:style w:type="character" w:customStyle="1" w:styleId="Virsraksts1Rakstz">
    <w:name w:val="Virsraksts 1 Rakstz."/>
    <w:basedOn w:val="Noklusjumarindkopasfonts"/>
    <w:link w:val="Virsraksts1"/>
    <w:uiPriority w:val="9"/>
    <w:rsid w:val="002223C8"/>
    <w:rPr>
      <w:rFonts w:asciiTheme="majorHAnsi" w:eastAsiaTheme="majorEastAsia" w:hAnsiTheme="majorHAnsi" w:cstheme="majorBidi"/>
      <w:color w:val="365F91" w:themeColor="accent1" w:themeShade="BF"/>
      <w:sz w:val="32"/>
      <w:szCs w:val="32"/>
    </w:rPr>
  </w:style>
  <w:style w:type="character" w:customStyle="1" w:styleId="Virsraksts2Rakstz">
    <w:name w:val="Virsraksts 2 Rakstz."/>
    <w:basedOn w:val="Noklusjumarindkopasfonts"/>
    <w:link w:val="Virsraksts2"/>
    <w:uiPriority w:val="9"/>
    <w:rsid w:val="002223C8"/>
    <w:rPr>
      <w:rFonts w:asciiTheme="majorHAnsi" w:eastAsiaTheme="majorEastAsia" w:hAnsiTheme="majorHAnsi" w:cstheme="majorBidi"/>
      <w:color w:val="365F91" w:themeColor="accent1" w:themeShade="BF"/>
      <w:sz w:val="26"/>
      <w:szCs w:val="26"/>
    </w:rPr>
  </w:style>
  <w:style w:type="character" w:styleId="Komentraatsauce">
    <w:name w:val="annotation reference"/>
    <w:basedOn w:val="Noklusjumarindkopasfonts"/>
    <w:uiPriority w:val="99"/>
    <w:semiHidden/>
    <w:unhideWhenUsed/>
    <w:rsid w:val="00D31F0B"/>
    <w:rPr>
      <w:sz w:val="16"/>
      <w:szCs w:val="16"/>
    </w:rPr>
  </w:style>
  <w:style w:type="paragraph" w:styleId="Komentrateksts">
    <w:name w:val="annotation text"/>
    <w:basedOn w:val="Parasts"/>
    <w:link w:val="KomentratekstsRakstz"/>
    <w:uiPriority w:val="99"/>
    <w:semiHidden/>
    <w:unhideWhenUsed/>
    <w:rsid w:val="00D31F0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31F0B"/>
    <w:rPr>
      <w:sz w:val="20"/>
      <w:szCs w:val="20"/>
    </w:rPr>
  </w:style>
  <w:style w:type="paragraph" w:styleId="Komentratma">
    <w:name w:val="annotation subject"/>
    <w:basedOn w:val="Komentrateksts"/>
    <w:next w:val="Komentrateksts"/>
    <w:link w:val="KomentratmaRakstz"/>
    <w:uiPriority w:val="99"/>
    <w:semiHidden/>
    <w:unhideWhenUsed/>
    <w:rsid w:val="00D31F0B"/>
    <w:rPr>
      <w:b/>
      <w:bCs/>
    </w:rPr>
  </w:style>
  <w:style w:type="character" w:customStyle="1" w:styleId="KomentratmaRakstz">
    <w:name w:val="Komentāra tēma Rakstz."/>
    <w:basedOn w:val="KomentratekstsRakstz"/>
    <w:link w:val="Komentratma"/>
    <w:uiPriority w:val="99"/>
    <w:semiHidden/>
    <w:rsid w:val="00D31F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9897">
      <w:bodyDiv w:val="1"/>
      <w:marLeft w:val="0"/>
      <w:marRight w:val="0"/>
      <w:marTop w:val="0"/>
      <w:marBottom w:val="0"/>
      <w:divBdr>
        <w:top w:val="none" w:sz="0" w:space="0" w:color="auto"/>
        <w:left w:val="none" w:sz="0" w:space="0" w:color="auto"/>
        <w:bottom w:val="none" w:sz="0" w:space="0" w:color="auto"/>
        <w:right w:val="none" w:sz="0" w:space="0" w:color="auto"/>
      </w:divBdr>
      <w:divsChild>
        <w:div w:id="1559241871">
          <w:marLeft w:val="0"/>
          <w:marRight w:val="0"/>
          <w:marTop w:val="0"/>
          <w:marBottom w:val="0"/>
          <w:divBdr>
            <w:top w:val="none" w:sz="0" w:space="0" w:color="auto"/>
            <w:left w:val="none" w:sz="0" w:space="0" w:color="auto"/>
            <w:bottom w:val="none" w:sz="0" w:space="0" w:color="auto"/>
            <w:right w:val="none" w:sz="0" w:space="0" w:color="auto"/>
          </w:divBdr>
          <w:divsChild>
            <w:div w:id="983386566">
              <w:marLeft w:val="0"/>
              <w:marRight w:val="0"/>
              <w:marTop w:val="0"/>
              <w:marBottom w:val="0"/>
              <w:divBdr>
                <w:top w:val="none" w:sz="0" w:space="0" w:color="auto"/>
                <w:left w:val="none" w:sz="0" w:space="0" w:color="auto"/>
                <w:bottom w:val="none" w:sz="0" w:space="0" w:color="auto"/>
                <w:right w:val="none" w:sz="0" w:space="0" w:color="auto"/>
              </w:divBdr>
              <w:divsChild>
                <w:div w:id="59912360">
                  <w:marLeft w:val="0"/>
                  <w:marRight w:val="0"/>
                  <w:marTop w:val="0"/>
                  <w:marBottom w:val="0"/>
                  <w:divBdr>
                    <w:top w:val="none" w:sz="0" w:space="0" w:color="auto"/>
                    <w:left w:val="none" w:sz="0" w:space="0" w:color="auto"/>
                    <w:bottom w:val="none" w:sz="0" w:space="0" w:color="auto"/>
                    <w:right w:val="none" w:sz="0" w:space="0" w:color="auto"/>
                  </w:divBdr>
                  <w:divsChild>
                    <w:div w:id="1863930993">
                      <w:marLeft w:val="0"/>
                      <w:marRight w:val="0"/>
                      <w:marTop w:val="0"/>
                      <w:marBottom w:val="0"/>
                      <w:divBdr>
                        <w:top w:val="none" w:sz="0" w:space="0" w:color="auto"/>
                        <w:left w:val="none" w:sz="0" w:space="0" w:color="auto"/>
                        <w:bottom w:val="none" w:sz="0" w:space="0" w:color="auto"/>
                        <w:right w:val="none" w:sz="0" w:space="0" w:color="auto"/>
                      </w:divBdr>
                      <w:divsChild>
                        <w:div w:id="2086565435">
                          <w:marLeft w:val="0"/>
                          <w:marRight w:val="0"/>
                          <w:marTop w:val="0"/>
                          <w:marBottom w:val="0"/>
                          <w:divBdr>
                            <w:top w:val="none" w:sz="0" w:space="0" w:color="auto"/>
                            <w:left w:val="none" w:sz="0" w:space="0" w:color="auto"/>
                            <w:bottom w:val="none" w:sz="0" w:space="0" w:color="auto"/>
                            <w:right w:val="none" w:sz="0" w:space="0" w:color="auto"/>
                          </w:divBdr>
                          <w:divsChild>
                            <w:div w:id="935402968">
                              <w:marLeft w:val="0"/>
                              <w:marRight w:val="0"/>
                              <w:marTop w:val="0"/>
                              <w:marBottom w:val="0"/>
                              <w:divBdr>
                                <w:top w:val="none" w:sz="0" w:space="0" w:color="auto"/>
                                <w:left w:val="none" w:sz="0" w:space="0" w:color="auto"/>
                                <w:bottom w:val="none" w:sz="0" w:space="0" w:color="auto"/>
                                <w:right w:val="none" w:sz="0" w:space="0" w:color="auto"/>
                              </w:divBdr>
                              <w:divsChild>
                                <w:div w:id="342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277854">
      <w:bodyDiv w:val="1"/>
      <w:marLeft w:val="0"/>
      <w:marRight w:val="0"/>
      <w:marTop w:val="0"/>
      <w:marBottom w:val="0"/>
      <w:divBdr>
        <w:top w:val="none" w:sz="0" w:space="0" w:color="auto"/>
        <w:left w:val="none" w:sz="0" w:space="0" w:color="auto"/>
        <w:bottom w:val="none" w:sz="0" w:space="0" w:color="auto"/>
        <w:right w:val="none" w:sz="0" w:space="0" w:color="auto"/>
      </w:divBdr>
      <w:divsChild>
        <w:div w:id="1110856306">
          <w:marLeft w:val="0"/>
          <w:marRight w:val="0"/>
          <w:marTop w:val="0"/>
          <w:marBottom w:val="0"/>
          <w:divBdr>
            <w:top w:val="none" w:sz="0" w:space="0" w:color="auto"/>
            <w:left w:val="none" w:sz="0" w:space="0" w:color="auto"/>
            <w:bottom w:val="none" w:sz="0" w:space="0" w:color="auto"/>
            <w:right w:val="none" w:sz="0" w:space="0" w:color="auto"/>
          </w:divBdr>
          <w:divsChild>
            <w:div w:id="1806269343">
              <w:marLeft w:val="0"/>
              <w:marRight w:val="0"/>
              <w:marTop w:val="0"/>
              <w:marBottom w:val="0"/>
              <w:divBdr>
                <w:top w:val="none" w:sz="0" w:space="0" w:color="auto"/>
                <w:left w:val="none" w:sz="0" w:space="0" w:color="auto"/>
                <w:bottom w:val="none" w:sz="0" w:space="0" w:color="auto"/>
                <w:right w:val="none" w:sz="0" w:space="0" w:color="auto"/>
              </w:divBdr>
              <w:divsChild>
                <w:div w:id="1558321633">
                  <w:marLeft w:val="0"/>
                  <w:marRight w:val="0"/>
                  <w:marTop w:val="0"/>
                  <w:marBottom w:val="0"/>
                  <w:divBdr>
                    <w:top w:val="none" w:sz="0" w:space="0" w:color="auto"/>
                    <w:left w:val="none" w:sz="0" w:space="0" w:color="auto"/>
                    <w:bottom w:val="none" w:sz="0" w:space="0" w:color="auto"/>
                    <w:right w:val="none" w:sz="0" w:space="0" w:color="auto"/>
                  </w:divBdr>
                  <w:divsChild>
                    <w:div w:id="2032761937">
                      <w:marLeft w:val="0"/>
                      <w:marRight w:val="0"/>
                      <w:marTop w:val="0"/>
                      <w:marBottom w:val="0"/>
                      <w:divBdr>
                        <w:top w:val="none" w:sz="0" w:space="0" w:color="auto"/>
                        <w:left w:val="none" w:sz="0" w:space="0" w:color="auto"/>
                        <w:bottom w:val="none" w:sz="0" w:space="0" w:color="auto"/>
                        <w:right w:val="none" w:sz="0" w:space="0" w:color="auto"/>
                      </w:divBdr>
                      <w:divsChild>
                        <w:div w:id="3290296">
                          <w:marLeft w:val="0"/>
                          <w:marRight w:val="0"/>
                          <w:marTop w:val="0"/>
                          <w:marBottom w:val="0"/>
                          <w:divBdr>
                            <w:top w:val="none" w:sz="0" w:space="0" w:color="auto"/>
                            <w:left w:val="none" w:sz="0" w:space="0" w:color="auto"/>
                            <w:bottom w:val="none" w:sz="0" w:space="0" w:color="auto"/>
                            <w:right w:val="none" w:sz="0" w:space="0" w:color="auto"/>
                          </w:divBdr>
                          <w:divsChild>
                            <w:div w:id="1263997523">
                              <w:marLeft w:val="0"/>
                              <w:marRight w:val="0"/>
                              <w:marTop w:val="0"/>
                              <w:marBottom w:val="0"/>
                              <w:divBdr>
                                <w:top w:val="none" w:sz="0" w:space="0" w:color="auto"/>
                                <w:left w:val="none" w:sz="0" w:space="0" w:color="auto"/>
                                <w:bottom w:val="none" w:sz="0" w:space="0" w:color="auto"/>
                                <w:right w:val="none" w:sz="0" w:space="0" w:color="auto"/>
                              </w:divBdr>
                              <w:divsChild>
                                <w:div w:id="19185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034640">
      <w:bodyDiv w:val="1"/>
      <w:marLeft w:val="0"/>
      <w:marRight w:val="0"/>
      <w:marTop w:val="0"/>
      <w:marBottom w:val="0"/>
      <w:divBdr>
        <w:top w:val="none" w:sz="0" w:space="0" w:color="auto"/>
        <w:left w:val="none" w:sz="0" w:space="0" w:color="auto"/>
        <w:bottom w:val="none" w:sz="0" w:space="0" w:color="auto"/>
        <w:right w:val="none" w:sz="0" w:space="0" w:color="auto"/>
      </w:divBdr>
      <w:divsChild>
        <w:div w:id="1926767419">
          <w:marLeft w:val="0"/>
          <w:marRight w:val="0"/>
          <w:marTop w:val="0"/>
          <w:marBottom w:val="0"/>
          <w:divBdr>
            <w:top w:val="none" w:sz="0" w:space="0" w:color="auto"/>
            <w:left w:val="none" w:sz="0" w:space="0" w:color="auto"/>
            <w:bottom w:val="none" w:sz="0" w:space="0" w:color="auto"/>
            <w:right w:val="none" w:sz="0" w:space="0" w:color="auto"/>
          </w:divBdr>
          <w:divsChild>
            <w:div w:id="436868531">
              <w:marLeft w:val="0"/>
              <w:marRight w:val="0"/>
              <w:marTop w:val="0"/>
              <w:marBottom w:val="0"/>
              <w:divBdr>
                <w:top w:val="none" w:sz="0" w:space="0" w:color="auto"/>
                <w:left w:val="none" w:sz="0" w:space="0" w:color="auto"/>
                <w:bottom w:val="none" w:sz="0" w:space="0" w:color="auto"/>
                <w:right w:val="none" w:sz="0" w:space="0" w:color="auto"/>
              </w:divBdr>
              <w:divsChild>
                <w:div w:id="1182865130">
                  <w:marLeft w:val="0"/>
                  <w:marRight w:val="0"/>
                  <w:marTop w:val="0"/>
                  <w:marBottom w:val="0"/>
                  <w:divBdr>
                    <w:top w:val="none" w:sz="0" w:space="0" w:color="auto"/>
                    <w:left w:val="none" w:sz="0" w:space="0" w:color="auto"/>
                    <w:bottom w:val="none" w:sz="0" w:space="0" w:color="auto"/>
                    <w:right w:val="none" w:sz="0" w:space="0" w:color="auto"/>
                  </w:divBdr>
                  <w:divsChild>
                    <w:div w:id="1445077877">
                      <w:marLeft w:val="0"/>
                      <w:marRight w:val="0"/>
                      <w:marTop w:val="0"/>
                      <w:marBottom w:val="0"/>
                      <w:divBdr>
                        <w:top w:val="none" w:sz="0" w:space="0" w:color="auto"/>
                        <w:left w:val="none" w:sz="0" w:space="0" w:color="auto"/>
                        <w:bottom w:val="none" w:sz="0" w:space="0" w:color="auto"/>
                        <w:right w:val="none" w:sz="0" w:space="0" w:color="auto"/>
                      </w:divBdr>
                      <w:divsChild>
                        <w:div w:id="630594289">
                          <w:marLeft w:val="0"/>
                          <w:marRight w:val="0"/>
                          <w:marTop w:val="0"/>
                          <w:marBottom w:val="0"/>
                          <w:divBdr>
                            <w:top w:val="none" w:sz="0" w:space="0" w:color="auto"/>
                            <w:left w:val="none" w:sz="0" w:space="0" w:color="auto"/>
                            <w:bottom w:val="none" w:sz="0" w:space="0" w:color="auto"/>
                            <w:right w:val="none" w:sz="0" w:space="0" w:color="auto"/>
                          </w:divBdr>
                          <w:divsChild>
                            <w:div w:id="808476066">
                              <w:marLeft w:val="0"/>
                              <w:marRight w:val="0"/>
                              <w:marTop w:val="0"/>
                              <w:marBottom w:val="0"/>
                              <w:divBdr>
                                <w:top w:val="none" w:sz="0" w:space="0" w:color="auto"/>
                                <w:left w:val="none" w:sz="0" w:space="0" w:color="auto"/>
                                <w:bottom w:val="none" w:sz="0" w:space="0" w:color="auto"/>
                                <w:right w:val="none" w:sz="0" w:space="0" w:color="auto"/>
                              </w:divBdr>
                              <w:divsChild>
                                <w:div w:id="7825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05382">
      <w:bodyDiv w:val="1"/>
      <w:marLeft w:val="0"/>
      <w:marRight w:val="0"/>
      <w:marTop w:val="0"/>
      <w:marBottom w:val="0"/>
      <w:divBdr>
        <w:top w:val="none" w:sz="0" w:space="0" w:color="auto"/>
        <w:left w:val="none" w:sz="0" w:space="0" w:color="auto"/>
        <w:bottom w:val="none" w:sz="0" w:space="0" w:color="auto"/>
        <w:right w:val="none" w:sz="0" w:space="0" w:color="auto"/>
      </w:divBdr>
      <w:divsChild>
        <w:div w:id="1648827495">
          <w:marLeft w:val="0"/>
          <w:marRight w:val="0"/>
          <w:marTop w:val="0"/>
          <w:marBottom w:val="0"/>
          <w:divBdr>
            <w:top w:val="none" w:sz="0" w:space="0" w:color="auto"/>
            <w:left w:val="none" w:sz="0" w:space="0" w:color="auto"/>
            <w:bottom w:val="none" w:sz="0" w:space="0" w:color="auto"/>
            <w:right w:val="none" w:sz="0" w:space="0" w:color="auto"/>
          </w:divBdr>
          <w:divsChild>
            <w:div w:id="893001342">
              <w:marLeft w:val="0"/>
              <w:marRight w:val="0"/>
              <w:marTop w:val="0"/>
              <w:marBottom w:val="0"/>
              <w:divBdr>
                <w:top w:val="none" w:sz="0" w:space="0" w:color="auto"/>
                <w:left w:val="none" w:sz="0" w:space="0" w:color="auto"/>
                <w:bottom w:val="none" w:sz="0" w:space="0" w:color="auto"/>
                <w:right w:val="none" w:sz="0" w:space="0" w:color="auto"/>
              </w:divBdr>
              <w:divsChild>
                <w:div w:id="1415586873">
                  <w:marLeft w:val="0"/>
                  <w:marRight w:val="0"/>
                  <w:marTop w:val="0"/>
                  <w:marBottom w:val="0"/>
                  <w:divBdr>
                    <w:top w:val="none" w:sz="0" w:space="0" w:color="auto"/>
                    <w:left w:val="none" w:sz="0" w:space="0" w:color="auto"/>
                    <w:bottom w:val="none" w:sz="0" w:space="0" w:color="auto"/>
                    <w:right w:val="none" w:sz="0" w:space="0" w:color="auto"/>
                  </w:divBdr>
                  <w:divsChild>
                    <w:div w:id="1973631085">
                      <w:marLeft w:val="0"/>
                      <w:marRight w:val="0"/>
                      <w:marTop w:val="0"/>
                      <w:marBottom w:val="0"/>
                      <w:divBdr>
                        <w:top w:val="none" w:sz="0" w:space="0" w:color="auto"/>
                        <w:left w:val="none" w:sz="0" w:space="0" w:color="auto"/>
                        <w:bottom w:val="none" w:sz="0" w:space="0" w:color="auto"/>
                        <w:right w:val="none" w:sz="0" w:space="0" w:color="auto"/>
                      </w:divBdr>
                      <w:divsChild>
                        <w:div w:id="1829324396">
                          <w:marLeft w:val="0"/>
                          <w:marRight w:val="0"/>
                          <w:marTop w:val="0"/>
                          <w:marBottom w:val="0"/>
                          <w:divBdr>
                            <w:top w:val="none" w:sz="0" w:space="0" w:color="auto"/>
                            <w:left w:val="none" w:sz="0" w:space="0" w:color="auto"/>
                            <w:bottom w:val="none" w:sz="0" w:space="0" w:color="auto"/>
                            <w:right w:val="none" w:sz="0" w:space="0" w:color="auto"/>
                          </w:divBdr>
                          <w:divsChild>
                            <w:div w:id="1024944955">
                              <w:marLeft w:val="0"/>
                              <w:marRight w:val="0"/>
                              <w:marTop w:val="0"/>
                              <w:marBottom w:val="0"/>
                              <w:divBdr>
                                <w:top w:val="none" w:sz="0" w:space="0" w:color="auto"/>
                                <w:left w:val="none" w:sz="0" w:space="0" w:color="auto"/>
                                <w:bottom w:val="none" w:sz="0" w:space="0" w:color="auto"/>
                                <w:right w:val="none" w:sz="0" w:space="0" w:color="auto"/>
                              </w:divBdr>
                              <w:divsChild>
                                <w:div w:id="11655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683273">
      <w:bodyDiv w:val="1"/>
      <w:marLeft w:val="0"/>
      <w:marRight w:val="0"/>
      <w:marTop w:val="0"/>
      <w:marBottom w:val="0"/>
      <w:divBdr>
        <w:top w:val="none" w:sz="0" w:space="0" w:color="auto"/>
        <w:left w:val="none" w:sz="0" w:space="0" w:color="auto"/>
        <w:bottom w:val="none" w:sz="0" w:space="0" w:color="auto"/>
        <w:right w:val="none" w:sz="0" w:space="0" w:color="auto"/>
      </w:divBdr>
      <w:divsChild>
        <w:div w:id="252592532">
          <w:marLeft w:val="0"/>
          <w:marRight w:val="0"/>
          <w:marTop w:val="0"/>
          <w:marBottom w:val="0"/>
          <w:divBdr>
            <w:top w:val="none" w:sz="0" w:space="0" w:color="auto"/>
            <w:left w:val="none" w:sz="0" w:space="0" w:color="auto"/>
            <w:bottom w:val="none" w:sz="0" w:space="0" w:color="auto"/>
            <w:right w:val="none" w:sz="0" w:space="0" w:color="auto"/>
          </w:divBdr>
          <w:divsChild>
            <w:div w:id="545064267">
              <w:marLeft w:val="0"/>
              <w:marRight w:val="0"/>
              <w:marTop w:val="0"/>
              <w:marBottom w:val="0"/>
              <w:divBdr>
                <w:top w:val="none" w:sz="0" w:space="0" w:color="auto"/>
                <w:left w:val="none" w:sz="0" w:space="0" w:color="auto"/>
                <w:bottom w:val="none" w:sz="0" w:space="0" w:color="auto"/>
                <w:right w:val="none" w:sz="0" w:space="0" w:color="auto"/>
              </w:divBdr>
              <w:divsChild>
                <w:div w:id="706566278">
                  <w:marLeft w:val="0"/>
                  <w:marRight w:val="0"/>
                  <w:marTop w:val="0"/>
                  <w:marBottom w:val="0"/>
                  <w:divBdr>
                    <w:top w:val="none" w:sz="0" w:space="0" w:color="auto"/>
                    <w:left w:val="none" w:sz="0" w:space="0" w:color="auto"/>
                    <w:bottom w:val="none" w:sz="0" w:space="0" w:color="auto"/>
                    <w:right w:val="none" w:sz="0" w:space="0" w:color="auto"/>
                  </w:divBdr>
                  <w:divsChild>
                    <w:div w:id="1038774741">
                      <w:marLeft w:val="0"/>
                      <w:marRight w:val="0"/>
                      <w:marTop w:val="0"/>
                      <w:marBottom w:val="0"/>
                      <w:divBdr>
                        <w:top w:val="none" w:sz="0" w:space="0" w:color="auto"/>
                        <w:left w:val="none" w:sz="0" w:space="0" w:color="auto"/>
                        <w:bottom w:val="none" w:sz="0" w:space="0" w:color="auto"/>
                        <w:right w:val="none" w:sz="0" w:space="0" w:color="auto"/>
                      </w:divBdr>
                      <w:divsChild>
                        <w:div w:id="279536412">
                          <w:marLeft w:val="0"/>
                          <w:marRight w:val="0"/>
                          <w:marTop w:val="0"/>
                          <w:marBottom w:val="0"/>
                          <w:divBdr>
                            <w:top w:val="none" w:sz="0" w:space="0" w:color="auto"/>
                            <w:left w:val="none" w:sz="0" w:space="0" w:color="auto"/>
                            <w:bottom w:val="none" w:sz="0" w:space="0" w:color="auto"/>
                            <w:right w:val="none" w:sz="0" w:space="0" w:color="auto"/>
                          </w:divBdr>
                          <w:divsChild>
                            <w:div w:id="302780444">
                              <w:marLeft w:val="0"/>
                              <w:marRight w:val="0"/>
                              <w:marTop w:val="0"/>
                              <w:marBottom w:val="0"/>
                              <w:divBdr>
                                <w:top w:val="none" w:sz="0" w:space="0" w:color="auto"/>
                                <w:left w:val="none" w:sz="0" w:space="0" w:color="auto"/>
                                <w:bottom w:val="none" w:sz="0" w:space="0" w:color="auto"/>
                                <w:right w:val="none" w:sz="0" w:space="0" w:color="auto"/>
                              </w:divBdr>
                              <w:divsChild>
                                <w:div w:id="4894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3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moneyval-2018-8-5th-round-mer-latvia/16808ce61b"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2E35E9-6460-4802-AA1D-D61AB35D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10185</Words>
  <Characters>5806</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VADLĪNIJAS</vt:lpstr>
      <vt:lpstr>VADLĪNIJAS</vt:lpstr>
    </vt:vector>
  </TitlesOfParts>
  <Company>Tieslietu Sektors</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VADLĪNIJAS</dc:title>
  <dc:subject>noziedzīgi iegūtu līdzekļu legalizācijas un terorisma finansēšanas novēršanas uzraudzības un kontroles institūciju starptautiskajai sadarbībai</dc:subject>
  <dc:creator>Zane Ozola</dc:creator>
  <cp:lastModifiedBy>Maija Bidiņa</cp:lastModifiedBy>
  <cp:revision>3</cp:revision>
  <cp:lastPrinted>2019-05-09T12:52:00Z</cp:lastPrinted>
  <dcterms:created xsi:type="dcterms:W3CDTF">2019-05-31T10:19:00Z</dcterms:created>
  <dcterms:modified xsi:type="dcterms:W3CDTF">2019-05-31T10:22:00Z</dcterms:modified>
</cp:coreProperties>
</file>